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84"/>
        </w:rPr>
        <w:t xml:space="preserve">竞争性磋商文件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16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项目名称：南京市第二医院2025年食堂劳务外包服务项目 </w:t>
      </w:r>
      <w:r/>
    </w:p>
    <w:p>
      <w:pPr>
        <w:ind w:left="0" w:right="0" w:firstLine="1606"/>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项目编号：JSZC-320100-JTGS-C2025-0110</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（非专门面向中小企业）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南京市第二医院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江苏骏通建设项目管理咨询有限公司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2025年12月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 </w:t>
      </w:r>
      <w:r/>
    </w:p>
    <w:p>
      <w:pPr>
        <w:numPr>
          <w:ilvl w:val="0"/>
          <w:numId w:val="1"/>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磋商邀请…………………………………… 2</w:t>
      </w:r>
      <w:r/>
    </w:p>
    <w:p>
      <w:pPr>
        <w:numPr>
          <w:ilvl w:val="0"/>
          <w:numId w:val="1"/>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供应商须知………………………………… 5</w:t>
      </w:r>
      <w:r/>
    </w:p>
    <w:p>
      <w:pPr>
        <w:numPr>
          <w:ilvl w:val="0"/>
          <w:numId w:val="1"/>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合同文本……………………………………12</w:t>
      </w:r>
      <w:r/>
    </w:p>
    <w:p>
      <w:pPr>
        <w:numPr>
          <w:ilvl w:val="0"/>
          <w:numId w:val="1"/>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采购需求……………………………………19</w:t>
      </w:r>
      <w:r/>
    </w:p>
    <w:p>
      <w:pPr>
        <w:numPr>
          <w:ilvl w:val="0"/>
          <w:numId w:val="1"/>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评审方法与评审标准………………………28</w:t>
      </w:r>
      <w:r/>
    </w:p>
    <w:p>
      <w:pPr>
        <w:numPr>
          <w:ilvl w:val="0"/>
          <w:numId w:val="1"/>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响应文件格式………………………………31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84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第一章磋商邀请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受南京市第二医院（采购单位）委托，江苏骏通建设项目管理咨询有限公司就南京市第二医院2025年食堂劳务外包服务项目（项目名称）进行竞争性磋商采购，欢迎符合条件的供应商参加磋商。</w:t>
      </w:r>
      <w:r/>
    </w:p>
    <w:p>
      <w:pPr>
        <w:pStyle w:val="646"/>
        <w:ind w:left="0" w:right="0" w:firstLine="37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1.项目编号：JSZC-320100-JTGS-C2025-0110</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2.项目名称：南京市第二医院2025年食堂劳务外包服务项目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3.预算金额：370万元/年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4.最高限价：本项目设定最高限价为370万元/年（投标报价超过最高限价作无效标处理）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5.采购需求（简介）：南京市第二医院食堂劳务外包服务（详细内容见本磋商文件第四章）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6.合同履行期限：1年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7.本项目不接受联合体参加磋商。</w:t>
      </w:r>
      <w:r/>
    </w:p>
    <w:p>
      <w:pPr>
        <w:pStyle w:val="646"/>
        <w:ind w:left="0" w:right="0" w:firstLine="37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1、满足《中华人民共和国政府采购法》第二十二条的相关规定，供应商提供《南京市政府采购供应商信用记录表暨信用承诺书》：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1.1具有独立承担民事责任的能力（提供法人或者其他组织的营业执照，自然人的身份证明复印件）；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1.2具有良好的商业信誉和健全的财务会计制度（提供承诺书，格式见第六章）；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1.3具有履行合同所必需的设备和专业技术能力（提供承诺书，格式见第六章）；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1.4有依法缴纳税收和社会保障资金的良好记录（提供承诺书，格式见第六章）；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1.5参加政府采购活动前三年内，在经营活动中没有重大违法记录（提供承诺书，格式见第六章）；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在政府采购资格审查环节，供应商只需提供书面《南京市政府采购供应商信用记录表暨信用承诺书》，即可替代以下证明材料：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（1）符合国家相关规定的财务状况报告；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（2）依法缴纳税收的证明材料；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（3）依法缴纳社会保障资金的证明材料；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（4）具备履行政府采购合同所必需的设备和专业技术能力的证明材料；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（6）未被列入失信被执行人、重大税收违法失信主体、政府采购严重违法失信行为记录名单的证明材料。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供应商涉及以下情形的，不适用信用承诺：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（1）供应商被列入严重失信主体名单；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（2）被相关监管部门作出行政处罚且尚在处罚有效期内；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（3）其他法律、行政法规规定的不适用信用承诺的情形。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供应商对信用承诺内容的真实性、合法性、有效性负责。如作出虚假信用承诺，视同为“提供虚假材料谋取中标、成交”的违法行为。</w:t>
      </w:r>
      <w:r/>
    </w:p>
    <w:p>
      <w:pPr>
        <w:numPr>
          <w:ilvl w:val="0"/>
          <w:numId w:val="2"/>
        </w:numPr>
        <w:jc w:val="both"/>
        <w:spacing w:before="0" w:after="0" w:line="46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2.1本项目按照以下第</w:t>
      </w:r>
      <w:r>
        <w:rPr>
          <w:rFonts w:ascii="SimSun" w:hAnsi="SimSun" w:eastAsia="SimSun" w:cs="SimSun"/>
          <w:color w:val="000000"/>
          <w:sz w:val="24"/>
          <w:u w:val="single"/>
        </w:rPr>
        <w:t xml:space="preserve">（4）</w:t>
      </w:r>
      <w:r>
        <w:rPr>
          <w:rFonts w:ascii="SimSun" w:hAnsi="SimSun" w:eastAsia="SimSun" w:cs="SimSun"/>
          <w:color w:val="000000"/>
          <w:sz w:val="24"/>
        </w:rPr>
        <w:t xml:space="preserve">种方式落实政府采购促进中小企业发展的要求：</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（1）本项目整体专门面向中小企业采购货物；</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（2）本项目为 </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（项目编号）的采购包，专门面向中小企业采购货物；</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（3）本项目通过以下第（）种方式预留部分采购份额采购中小企业货物：</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①本项目要求供应商以联合体形式参加，中小企业合同金额应当达到的比例为</w:t>
      </w:r>
      <w:r>
        <w:rPr>
          <w:rFonts w:ascii="SimSun" w:hAnsi="SimSun" w:eastAsia="SimSun" w:cs="SimSun"/>
          <w:color w:val="000000"/>
          <w:sz w:val="24"/>
          <w:u w:val="single"/>
        </w:rPr>
        <w:t xml:space="preserve">    </w:t>
      </w:r>
      <w:r>
        <w:rPr>
          <w:rFonts w:ascii="SimSun" w:hAnsi="SimSun" w:eastAsia="SimSun" w:cs="SimSun"/>
          <w:color w:val="000000"/>
          <w:sz w:val="24"/>
        </w:rPr>
        <w:t xml:space="preserve">%，其中小微企业所占比例应为 </w:t>
      </w:r>
      <w:r>
        <w:rPr>
          <w:rFonts w:ascii="SimSun" w:hAnsi="SimSun" w:eastAsia="SimSun" w:cs="SimSun"/>
          <w:color w:val="000000"/>
          <w:sz w:val="24"/>
          <w:u w:val="single"/>
        </w:rPr>
        <w:t xml:space="preserve">   </w:t>
      </w:r>
      <w:r>
        <w:rPr>
          <w:rFonts w:ascii="SimSun" w:hAnsi="SimSun" w:eastAsia="SimSun" w:cs="SimSun"/>
          <w:color w:val="000000"/>
          <w:sz w:val="24"/>
        </w:rPr>
        <w:t xml:space="preserve">%（两项比例均应符合《政府采购促进中小企业发展管理办法》第八条规定）；</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②本项目要求供应商进行合同分包，中小企业合同金额应当达到的比例为</w:t>
      </w:r>
      <w:r>
        <w:rPr>
          <w:rFonts w:ascii="SimSun" w:hAnsi="SimSun" w:eastAsia="SimSun" w:cs="SimSun"/>
          <w:color w:val="000000"/>
          <w:sz w:val="24"/>
          <w:u w:val="single"/>
        </w:rPr>
        <w:t xml:space="preserve">    </w:t>
      </w:r>
      <w:r>
        <w:rPr>
          <w:rFonts w:ascii="SimSun" w:hAnsi="SimSun" w:eastAsia="SimSun" w:cs="SimSun"/>
          <w:color w:val="000000"/>
          <w:sz w:val="24"/>
        </w:rPr>
        <w:t xml:space="preserve">%，其中小微企业所占比例应为</w:t>
      </w:r>
      <w:r>
        <w:rPr>
          <w:rFonts w:ascii="SimSun" w:hAnsi="SimSun" w:eastAsia="SimSun" w:cs="SimSun"/>
          <w:color w:val="000000"/>
          <w:sz w:val="24"/>
          <w:u w:val="single"/>
        </w:rPr>
        <w:t xml:space="preserve">    </w:t>
      </w:r>
      <w:r>
        <w:rPr>
          <w:rFonts w:ascii="SimSun" w:hAnsi="SimSun" w:eastAsia="SimSun" w:cs="SimSun"/>
          <w:color w:val="000000"/>
          <w:sz w:val="24"/>
        </w:rPr>
        <w:t xml:space="preserve">%（两项比例均应符合《政府采购促进中小企业发展管理办法》第八条规定）。</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（4）本项目为非预留份额的采购项目或采购包，执行价格扣除优惠政策，具体详见第五章评标标准。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本项目采购标的对应的中小企业划分标准所属行业为：餐饮业</w:t>
      </w:r>
      <w:r/>
    </w:p>
    <w:p>
      <w:pPr>
        <w:numPr>
          <w:ilvl w:val="0"/>
          <w:numId w:val="3"/>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（1）供应商须具有有效的餐饮服务许可证或食品经营许可证。（提供相关证书原件扫描件）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（2）供应商为本项目指定的餐饮服务人员应具备卫生部门颁发的有效健康证。南京市政府另有规定的，按规定执行。（提供承诺书并加盖供应商公章，格式自拟）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（3）本项目不接受联合体投标，不允许中标后分包或转包。（符合，并提供中标后不分包或转包的承诺书加盖供应商公章，格式自拟）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（三）拒绝下述供应商参加本次采购活动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1.单位负责人为同一人或者存在直接控股、管理关系的不同供应商，不得参加同一合同项下的政府采购活动。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2.为采购项目提供整体设计、规范编制或者项目管理、监理、检测等服务的供应商，不得参加本项目的采购活动。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3.供应商被“信用中国”网站（www.creditchina.gov.cn）、“中国政府采购网”（www.ccgp.gov.cn）列入失信被执行人、重大税收违法案件当事人名单、政府采购严重违法失信行为记录名单。</w:t>
      </w:r>
      <w:r/>
    </w:p>
    <w:p>
      <w:pPr>
        <w:pStyle w:val="646"/>
        <w:ind w:left="0" w:right="0" w:firstLine="37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三、获取磋商文件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1.时间：2025年12月25日9:00至2026年1月6日17:00。</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供应商登录“江苏政府采购网”，在网站首页点击“苏采云”→使用CA锁登录系统（新用户需进行“平台用户注册”）→“项目参与”进行登记，在“可参与项目”中选择“我要参与”，参与成功后到“已参与项目”界面中找到该项目下载文件并进行操作。（如有变化以最新为准）</w:t>
      </w:r>
      <w:r/>
    </w:p>
    <w:p>
      <w:pPr>
        <w:pStyle w:val="646"/>
        <w:ind w:left="0" w:right="0" w:firstLine="37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四、提交响应文件截止时间</w:t>
      </w:r>
      <w:r/>
    </w:p>
    <w:p>
      <w:pPr>
        <w:pStyle w:val="646"/>
        <w:ind w:left="0" w:right="0" w:firstLine="37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2026年1月7日14时00分（北京时间）。</w:t>
      </w:r>
      <w:r/>
    </w:p>
    <w:p>
      <w:pPr>
        <w:pStyle w:val="646"/>
        <w:ind w:left="0" w:right="0" w:firstLine="37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五、公告期限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公告期限为自本公告发布之日起3个工作日。</w:t>
      </w:r>
      <w:r/>
    </w:p>
    <w:p>
      <w:pPr>
        <w:pStyle w:val="646"/>
        <w:ind w:left="0" w:right="0" w:firstLine="37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六、其他事宜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1.本次磋商不收取磋商保证金。</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2.本项目不组织集中勘察及答疑，供应商如对采购需求有疑问，请咨询采购单位联系人。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hyperlink r:id="rId9" w:tooltip="http://www.ccgp-jiangsu.gov.cn/jiangsu/zlxz/ee/ee3a4bc5a3454aa2b0d9312230633ce9.html" w:history="1">
        <w:r>
          <w:rPr>
            <w:rStyle w:val="802"/>
            <w:rFonts w:ascii="SimSun" w:hAnsi="SimSun" w:eastAsia="SimSun" w:cs="SimSun"/>
            <w:color w:val="0000ee"/>
            <w:sz w:val="24"/>
            <w:u w:val="single"/>
          </w:rPr>
          <w:t xml:space="preserve">下载地址</w:t>
        </w:r>
      </w:hyperlink>
      <w:r>
        <w:rPr>
          <w:rFonts w:ascii="SimSun" w:hAnsi="SimSun" w:eastAsia="SimSun" w:cs="SimSun"/>
          <w:color w:val="000000"/>
          <w:sz w:val="24"/>
        </w:rPr>
        <w:t xml:space="preserve">（CTRL+鼠标左键）。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4.有关本次采购的事项若存在变动或修改，请及时关注“江苏政府采购网、南京公共采购信息网”（www.ccgp-jiangsu.gov.cn、https://njgc.jfh.com）更正公告。</w:t>
      </w:r>
      <w:r/>
    </w:p>
    <w:p>
      <w:pPr>
        <w:pStyle w:val="646"/>
        <w:ind w:left="0" w:right="0" w:firstLine="37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七、本次磋商联系方式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名称：南京市第二医院</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地址：南京市鼓楼区钟阜路1号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联系人：秦老师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none"/>
        </w:rPr>
        <w:t xml:space="preserve">025-85091725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2.招标代理机构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名称：江苏骏通建设项目管理咨询有限公司</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地址：南京市鼓楼区中山北路346号老学堂创意园58号楼9楼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人：陈工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联系电话：025-83605026</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第二章供应商须知</w:t>
      </w:r>
      <w:r/>
    </w:p>
    <w:p>
      <w:pPr>
        <w:pStyle w:val="646"/>
        <w:ind w:left="0" w:right="0" w:firstLine="37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一、总则</w:t>
      </w:r>
      <w:r/>
    </w:p>
    <w:p>
      <w:pPr>
        <w:pStyle w:val="648"/>
        <w:ind w:left="0" w:right="0" w:firstLine="36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w:t>
      </w:r>
      <w:r>
        <w:rPr>
          <w:rFonts w:ascii="SimSun" w:hAnsi="SimSun" w:eastAsia="SimSun" w:cs="SimSun"/>
          <w:b/>
          <w:color w:val="000000"/>
          <w:sz w:val="24"/>
        </w:rPr>
        <w:t xml:space="preserve">.采购方式</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本次政府采购活动采取竞争性磋商（以下简称“磋商”）方式，本文件仅适用于采购公告中所述项目。</w:t>
      </w:r>
      <w:r/>
    </w:p>
    <w:p>
      <w:pPr>
        <w:pStyle w:val="648"/>
        <w:ind w:left="0" w:right="0" w:firstLine="36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2.合格的</w:t>
      </w:r>
      <w:r>
        <w:rPr>
          <w:rFonts w:ascii="SimSun" w:hAnsi="SimSun" w:eastAsia="SimSun" w:cs="SimSun"/>
          <w:b/>
          <w:color w:val="000000"/>
          <w:sz w:val="24"/>
        </w:rPr>
        <w:t xml:space="preserve">供应商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满足采购公告对供应商资格要求的规定。</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满足磋商文件规定的实质性要求和条件。</w:t>
      </w:r>
      <w:r/>
    </w:p>
    <w:p>
      <w:pPr>
        <w:pStyle w:val="648"/>
        <w:ind w:left="0" w:right="0" w:firstLine="36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3.适用法律</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本次采购及由此产生的合同受中华人民共和国有关的法律法规制约和保护。</w:t>
      </w:r>
      <w:r/>
    </w:p>
    <w:p>
      <w:pPr>
        <w:pStyle w:val="648"/>
        <w:ind w:left="0" w:right="0" w:firstLine="36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4.磋商费用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供应商应自行承担所有与参加采购有关的费用，无论采购过程中的做法和结果如何，招标人及招标代理机构在任何情况下均无义务和责任承担这些费用。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本次招标，招标代理服务费、评委费（无发票）由中标人支付，相应费用包含在投标报价中，供应商自行考虑，无需单列。</w:t>
      </w:r>
      <w:r/>
    </w:p>
    <w:p>
      <w:pPr>
        <w:pStyle w:val="648"/>
        <w:ind w:left="0" w:right="0" w:firstLine="36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5.磋商文件的约束力</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供应商一旦参加本项目采购活动，即被认为接受了本文件的规定和约束。</w:t>
      </w:r>
      <w:r/>
    </w:p>
    <w:p>
      <w:pPr>
        <w:pStyle w:val="646"/>
        <w:ind w:left="0" w:right="0" w:firstLine="37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w:t>
      </w:r>
      <w:r>
        <w:rPr>
          <w:rFonts w:ascii="SimSun" w:hAnsi="SimSun" w:eastAsia="SimSun" w:cs="SimSun"/>
          <w:color w:val="000000"/>
          <w:sz w:val="24"/>
        </w:rPr>
        <w:t xml:space="preserve">磋商文件</w:t>
      </w:r>
      <w:r/>
    </w:p>
    <w:p>
      <w:pPr>
        <w:pStyle w:val="648"/>
        <w:ind w:left="0" w:right="0" w:firstLine="36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6.磋商文件构成</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磋商文件由以下部分组成：</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（1）磋商邀请</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（5）评审方法与评审标准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供应商应仔细检查磋商文件是否齐全，如有缺漏请立即与招标代理机构联系。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48"/>
        <w:ind w:left="0" w:right="0" w:firstLine="36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7.磋商文件的澄清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任何要求对磋商文件进行澄清的供应商，应在磋商截止期五日前按采购公告中的通讯地址，以书面形式通知招标代理机构。</w:t>
      </w:r>
      <w:r/>
    </w:p>
    <w:p>
      <w:pPr>
        <w:pStyle w:val="648"/>
        <w:ind w:left="0" w:right="0" w:firstLine="36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8.磋商文件的修改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8.1 在响应文件提交截止时间前</w:t>
      </w:r>
      <w:r>
        <w:rPr>
          <w:rFonts w:ascii="SimSun" w:hAnsi="SimSun" w:eastAsia="SimSun" w:cs="SimSun"/>
          <w:color w:val="000000"/>
          <w:sz w:val="24"/>
        </w:rPr>
        <w:t xml:space="preserve">，招标代理机构可以对磋商文件进行修改。磋商文件的修改将在原公告媒体发布更正公告，更正内容将作为磋商文件的组成部分，并对供应商具有约束力。</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供应商应在提交响应文件截止时间前，关注原公告媒体有关本项目的更正公告，根据更正公告内容自行决定是否需要重新制作和提交响应文件，并承担由此产生的相应责任。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招标代理机构有权按照法定的要求推迟提交响应文件截止时间，并在原公告媒体发布更正公告。</w:t>
      </w:r>
      <w:r/>
    </w:p>
    <w:p>
      <w:pPr>
        <w:pStyle w:val="646"/>
        <w:ind w:left="0" w:right="0" w:firstLine="37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三、响应文件的编制</w:t>
      </w:r>
      <w:r/>
    </w:p>
    <w:p>
      <w:pPr>
        <w:pStyle w:val="648"/>
        <w:ind w:left="0" w:right="0" w:firstLine="36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9.响应文件的语言及度量衡单位</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供应商提交的响应文件以及供应商与招标代理机构就有关磋商的所有来往通知、函件和文件均应使用简体中文。</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pStyle w:val="648"/>
        <w:ind w:left="0" w:right="0" w:firstLine="36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10.响应文件构成</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供应商编写的响应文件应包括资格证明文件、符合性证明文件、分项报价表、响应及偏离表、其他证明文件、磋商响应函等部分。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如标书制作工具中格式和内容与“江苏政府采购网、南京公共采购信息网”发布的磋商文件不一致，以“江苏政府采购网、南京公共采购信息网”发布的磋商文件为准。</w:t>
      </w:r>
      <w:r/>
    </w:p>
    <w:p>
      <w:pPr>
        <w:pStyle w:val="648"/>
        <w:ind w:left="0" w:right="0" w:firstLine="36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11.证明磋商响应标的符合磋商文件规定的文件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供应商应按照法律、法规、规章和规范性文件以及磋商文件要求提交证明文件，证明其响应标的符合磋商文件规定。</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磋商文件对证明文件无明确形式要求的，证明文件可以以文字资料、图纸和数据等形式提交。</w:t>
      </w:r>
      <w:r/>
    </w:p>
    <w:p>
      <w:pPr>
        <w:pStyle w:val="648"/>
        <w:ind w:left="0" w:right="0" w:firstLine="36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12.分项报价表（如有）</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供应商应按照磋商文件规定格式填报分项报价表。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响应文件中的单价和总价无特殊规定的采用人民币报价，以元为单位标注。磋商文件另有规定的按规定执行。</w:t>
      </w:r>
      <w:r/>
    </w:p>
    <w:p>
      <w:pPr>
        <w:pStyle w:val="648"/>
        <w:ind w:left="0" w:right="0" w:firstLine="36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13.响应及偏离表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供应商需对磋商文件中的技术要求与商务要求逐项作出响应或偏离说明。</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供应商可在响应文件中提供认为需要的其他技术文件或说明。</w:t>
      </w:r>
      <w:r/>
    </w:p>
    <w:p>
      <w:pPr>
        <w:pStyle w:val="648"/>
        <w:ind w:left="0" w:right="0" w:firstLine="36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14.磋商响应函</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供应商应按照磋商文件规定格式完整、正确填报磋商响应函。</w:t>
      </w:r>
      <w:r/>
    </w:p>
    <w:p>
      <w:pPr>
        <w:pStyle w:val="648"/>
        <w:ind w:left="0" w:right="0" w:firstLine="36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15.磋商有效期</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磋商有效期为采购公告规定的提交响应文件截止之日起六十天。磋商有效期比规定短的将被视为非实质性响应磋商文件而被拒绝。</w:t>
      </w:r>
      <w:r/>
    </w:p>
    <w:p>
      <w:pPr>
        <w:pStyle w:val="648"/>
        <w:ind w:left="0" w:right="0" w:firstLine="36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16.磋商有效期的延长</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同时受磋商有效期约束的所有权利与义务均延长至新的有效期满。</w:t>
      </w:r>
      <w:r/>
    </w:p>
    <w:p>
      <w:pPr>
        <w:pStyle w:val="646"/>
        <w:ind w:left="0" w:right="0" w:firstLine="37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四、响应文件的递交</w:t>
      </w:r>
      <w:r/>
    </w:p>
    <w:p>
      <w:pPr>
        <w:pStyle w:val="648"/>
        <w:ind w:left="0" w:right="0" w:firstLine="36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17.</w:t>
      </w:r>
      <w:r>
        <w:rPr>
          <w:rFonts w:ascii="SimSun" w:hAnsi="SimSun" w:eastAsia="SimSun" w:cs="SimSun"/>
          <w:b/>
          <w:color w:val="000000"/>
          <w:sz w:val="24"/>
        </w:rPr>
        <w:t xml:space="preserve">响应文件的递交</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供应商应当按照《操作手册》规定，在采购公告规定的提交响应文件截止时间前制作并上传电子响应文件。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供应商应充分考虑网络环境、网络带宽等因素可能产生的影响，如因供应商自身原因造成的电子响应文件上传不成功的，按照本磋商文件第二章第24.3条规定做无效响应处理。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招标代理机构可以按照规定，通过修改磋商文件酌情延长提交响应文件截止日期，在此情况下，供应商的所有权利和义务均以延长后新的截止日期为准。</w:t>
      </w:r>
      <w:r/>
    </w:p>
    <w:p>
      <w:pPr>
        <w:pStyle w:val="648"/>
        <w:ind w:left="0" w:right="0" w:firstLine="36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18.响应文件</w:t>
      </w:r>
      <w:r>
        <w:rPr>
          <w:rFonts w:ascii="SimSun" w:hAnsi="SimSun" w:eastAsia="SimSun" w:cs="SimSun"/>
          <w:b/>
          <w:color w:val="000000"/>
          <w:sz w:val="24"/>
        </w:rPr>
        <w:t xml:space="preserve">的拒收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提交响应文件截止时间后上传的任何响应文件将被拒绝。</w:t>
      </w:r>
      <w:r/>
    </w:p>
    <w:p>
      <w:pPr>
        <w:pStyle w:val="648"/>
        <w:ind w:left="0" w:right="0" w:firstLine="36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19.响应文件的撤回和修改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响应文件的撤回</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供应商可在提交响应文件截止时间前，撤回其电子响应文件，具体操作方法见《操作手册》。</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供应商撤回电子响应文件，则认为其不再参与本项目磋商活动。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响应文件的修改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 供应商可在提交响应文件截止时间前，对其电子响应文件进行修改，具体操作方法见《操作手册》。</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提交响应文件截止时间之后，供应商不得对其电子响应文件做任何修改。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在提交响应文件截止时间至磋商文件中规定的磋商有效期满之间的这段时间内，供应商不得撤回其响应文件。</w:t>
      </w:r>
      <w:r/>
    </w:p>
    <w:p>
      <w:pPr>
        <w:pStyle w:val="646"/>
        <w:ind w:left="0" w:right="0" w:firstLine="37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五、响应文件的解密与评审</w:t>
      </w:r>
      <w:r/>
    </w:p>
    <w:p>
      <w:pPr>
        <w:pStyle w:val="648"/>
        <w:ind w:left="0" w:right="0" w:firstLine="36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w:t>
      </w:r>
      <w:r>
        <w:rPr>
          <w:rFonts w:ascii="SimSun" w:hAnsi="SimSun" w:eastAsia="SimSun" w:cs="SimSun"/>
          <w:b/>
          <w:color w:val="000000"/>
          <w:sz w:val="24"/>
        </w:rPr>
        <w:t xml:space="preserve">0.响应文件解密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供应商应当按照《操作手册》规定，在苏采云系统规定的时间内对响应文件进行解密。</w:t>
      </w:r>
      <w:r/>
    </w:p>
    <w:p>
      <w:pPr>
        <w:pStyle w:val="648"/>
        <w:ind w:left="0" w:right="0" w:firstLine="36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21.磋商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依法组建的磋商小组对响应文件进行评审。</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磋商小组由采购人代表和有关技术、经济或法律等方面的专家组成，且人员构成符合政府采购有关规定。</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磋商小组独立工作，负责评审所有响应文件并推荐成交候选人，或根据采购人授权直接确定成交供应商。</w:t>
      </w:r>
      <w:r/>
    </w:p>
    <w:p>
      <w:pPr>
        <w:pStyle w:val="648"/>
        <w:ind w:left="0" w:right="0" w:firstLine="36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22.评审过程的保密与公正</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磋商小组、采购人和招标代理机构工作人员、相关监督人员等与评审工作有关的人员，对评审情况以及在评审过程中获悉的国家秘密、商业秘密负有保密责任。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供应商不得以任何方式影响评审过程，否则其响应文件将被作为无效响应文件。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招标代理机构和磋商小组不向未成交的供应商解释未成交原因，也不公布评审过程中的相关细节。</w:t>
      </w:r>
      <w:r/>
    </w:p>
    <w:p>
      <w:pPr>
        <w:pStyle w:val="648"/>
        <w:ind w:left="0" w:right="0" w:firstLine="36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23.评审过程中的澄清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项目评审期间，磋商小组有权要求供应商对响应文件中含义不明确、同类问题表述不一致或者有明显文字和计算错误的内容等作出必要的澄清、说明或者补正。</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供应商的澄清、说明或者补正不得超出响应文件的范围或者改变响应文件的实质性内容。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磋商小组并非对每个供应商都做澄清要求。</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需要供应商进行澄清、说明和补正的，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接到磋商小组澄清、说明和补正要求的供应商如未按规定作出澄清、说明和补正，其风险由供应商自行承担。</w:t>
      </w:r>
      <w:r/>
    </w:p>
    <w:p>
      <w:pPr>
        <w:pStyle w:val="648"/>
        <w:ind w:left="0" w:right="0" w:firstLine="36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24.响应文件的审</w:t>
      </w:r>
      <w:r>
        <w:rPr>
          <w:rFonts w:ascii="SimSun" w:hAnsi="SimSun" w:eastAsia="SimSun" w:cs="SimSun"/>
          <w:b/>
          <w:color w:val="000000"/>
          <w:sz w:val="24"/>
        </w:rPr>
        <w:t xml:space="preserve">查</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响应文件审查分为资格审查和符合性审查。</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资格审查。依据法律法规和磋商文件的规定，磋商小组对响应文件中的资格证明文件进行审查，以确定供应商是否具备参加磋商的资格。</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磋商小组进行资格审查时，将在“信用中国”网站（www.creditchina.gov.cn）查询供应商的信用记录，以确定供应商是否具备磋商资格，查询结果留存并归档。</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接受联合体的项目，联合体成员存在不良信用记录的，视同联合体存在不良信用记录。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符合性审查。依据磋商文件的规定，由磋商小组从有效性、完整性和对磋商文件的响应程度等方面对响应文件进行审查，以确定是否对磋商文件的实质性要求作出响应。</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未通过资格审查或符合性审查的供应商，磋商小组将通过苏采云系统或电话告知具体原因，评审结束后将不再接受有关询问。</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未实质性响应磋商文件的情形</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24.3.1 供应商在苏采云系统规定的时间内未成功解密电子响应文件。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24.3.2 供应商未按照磋商文件要求上传电子响应文件。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24.3.3 同一供应商提交两个（含两个）以上不同的响应文件或者最后报价。</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24.3.4 供应商不具备磋商文件中规定的资格要求。</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24.3.5 供应商的最后报价超过了采购预算或最高限价。</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24.3.6 不符合磋商文件中规定的实质性要求和条件（</w:t>
      </w:r>
      <w:r>
        <w:rPr>
          <w:rFonts w:ascii="SimSun" w:hAnsi="SimSun" w:eastAsia="SimSun" w:cs="SimSun"/>
          <w:b/>
          <w:color w:val="000000"/>
          <w:sz w:val="24"/>
        </w:rPr>
        <w:t xml:space="preserve">本文件中斜体且有下划线部分或者打“★”内容，为实质性要求和条件</w:t>
      </w:r>
      <w:r>
        <w:rPr>
          <w:rFonts w:ascii="SimSun" w:hAnsi="SimSun" w:eastAsia="SimSun" w:cs="SimSun"/>
          <w:color w:val="000000"/>
          <w:sz w:val="24"/>
        </w:rPr>
        <w:t xml:space="preserve">）。</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24.3.8 响应文件含有采购人不能接受的附加条件。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24.3.10 采购产品被财政部、国家发改委、生态环境部等列入“节能产品品目清单”强制采购范围，而供应商提供的产品不在强制采购范围内。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24.3.11 响应文件未按照磋商文件要求加盖电子公章。</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24.3.12 法律法规及本磋商文件规定的其他无效响应的情形。</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未实质性响应磋商文件的响应文件按无效响应处理。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如果响应文件实质上没有响应磋商文件的要求，磋商小组将予以拒绝，供应商不得通过修改或撤销不合要求的偏离或保留而使其成为实质性响应的文件。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24.6 供应商在项目评审全过程中应保持通讯畅通，</w:t>
      </w:r>
      <w:r>
        <w:rPr>
          <w:rFonts w:ascii="SimSun" w:hAnsi="SimSun" w:eastAsia="SimSun" w:cs="SimSun"/>
          <w:color w:val="000000"/>
          <w:sz w:val="24"/>
        </w:rPr>
        <w:t xml:space="preserve">及时登录苏采云系统查阅、答复相关信息，并安排专人与招标代理机构及磋商小组联系。</w:t>
      </w:r>
      <w:r/>
    </w:p>
    <w:p>
      <w:pPr>
        <w:pStyle w:val="648"/>
        <w:ind w:left="0" w:right="0" w:firstLine="36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25.磋商程序及评审方法与评审标准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25.1 磋商程序</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评审方法与评审标准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 评审方法。见磋商文件第五章。</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25.2.2 评审标准。见磋商文件第五章。</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采购活动终止</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出现下列情形之一的，本次采购活动终止：</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25.3.1 因情况变化，不再符合竞争性磋商采购方式适用情形。</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25.3.2 出现影响采购公正的违法、违规行为。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25.3.3 在苏采云系统规定时间内成功解密电子响应文件的供应商不足三家。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25.3.4 除本磋商文件第二章第25.1.2条第三款规定的情形外，磋商过程中符合要求的供应商或者提交最后报价且未超过采购预算或最高限价的供应商不足三家。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25.3.5 法律法规规定的其他应当终止情形。</w:t>
      </w:r>
      <w:r/>
    </w:p>
    <w:p>
      <w:pPr>
        <w:pStyle w:val="646"/>
        <w:ind w:left="0" w:right="0" w:firstLine="37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六、成交</w:t>
      </w:r>
      <w:r/>
    </w:p>
    <w:p>
      <w:pPr>
        <w:pStyle w:val="648"/>
        <w:ind w:left="0" w:right="0" w:firstLine="36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w:t>
      </w:r>
      <w:r>
        <w:rPr>
          <w:rFonts w:ascii="SimSun" w:hAnsi="SimSun" w:eastAsia="SimSun" w:cs="SimSun"/>
          <w:b/>
          <w:color w:val="000000"/>
          <w:sz w:val="24"/>
        </w:rPr>
        <w:t xml:space="preserve">6.确定成交单位</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成交候选供应商的确定原则和数量见磋商文件第五章。</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按以下第（1）种方式确定成交供应商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（1）磋商小组直接确定排名第一的成交候选供应商为成交供应商；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（2）采购人在磋商小组推荐的成交候选供应商中按顺序确定成交供应商。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按第二种方式确定成交供应商的，招标代理机构自评审结束之日起两个工作日内将评审报告送交采购人，采购人自收到评审报告之日起五个工作日内，在评审报告推荐的成交候选供应商中按顺序确定成交供应商。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招标代理机构将在“江苏政府采购网、南京公共采购信息网”发布成交结果公告，公告期限为1个工作日。</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w:t>
      </w:r>
      <w:r>
        <w:rPr>
          <w:rFonts w:ascii="SimSun" w:hAnsi="SimSun" w:eastAsia="SimSun" w:cs="SimSun"/>
          <w:b/>
          <w:color w:val="000000"/>
          <w:sz w:val="24"/>
        </w:rPr>
        <w:t xml:space="preserve">若有充分证据证明成交供应商有下列情况之一的，一经查实将被取消成交资格：</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 提供虚假材料谋取成交。</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 向评审专家、采购人或招标代理机构工作人员行贿或者提供其他不正当利益。</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 与其他供应商、评审专家、采购人或招标代理机构工作人员恶意串通。</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 不满足本磋商文件规定的实质性要求，但在评审过程中未被磋商小组发现。</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 采取不正当手段诋毁、排挤其他供应商。</w:t>
      </w:r>
      <w:r/>
    </w:p>
    <w:p>
      <w:pPr>
        <w:pStyle w:val="648"/>
        <w:ind w:left="0" w:right="0" w:firstLine="36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27.成交通知书</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成交结果确定后，招标代理机构将向成交供应商发出《成交通知书》。成交供应商可在成交结果公告届满之日起三十日内，登录苏采云系统下载。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因系统存储空间有限，成交结果公告届满之日起三十日后，苏采云系统不再保证提供下载《成交通知书》服务，因未及时下载而造成的不利后果由成交供应商自行承担。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646"/>
        <w:ind w:left="0" w:right="0" w:firstLine="37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七、授予合同</w:t>
      </w:r>
      <w:r/>
    </w:p>
    <w:p>
      <w:pPr>
        <w:pStyle w:val="648"/>
        <w:ind w:left="0" w:right="0" w:firstLine="36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28.签订合同</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 成交供应商应当在《成交通知书》发出之日起三十日内，按照磋商文件确定的事项与采购人签订政府采购合同。采购人于合同签订后2个工作日内通过苏采云系统进行公示。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磋商文件、成交供应商的响应文件及磋商过程中有关澄清、承诺文件均作为合同附件。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成交供应商因自身原因拒绝与采购人签订合同的，不得参加采购人重新组织的采购活动，且将可能被拒绝参加该采购人一年内的其他政府采购活动。</w:t>
      </w:r>
      <w:r/>
    </w:p>
    <w:p>
      <w:pPr>
        <w:pStyle w:val="648"/>
        <w:ind w:left="0" w:right="0" w:firstLine="36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29.标的物的追加</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648"/>
        <w:ind w:left="0" w:right="0" w:firstLine="36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30.政府采购履约资金扶持政策</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成交供应商通过南京市公共资源交易平台网站“小企业融资平台”，选择相应的金融机构办理融资贷款。</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依据《关于在全省政府采购领域推行电子履约保函（保险）的通知》（苏财购〔2023〕150号），需要缴纳履约保证金的，成交供应商可通过江苏政府采购网“政府采购电子履约保函（保险）综合服务平台”线上办理履约保函（保险）。</w:t>
      </w:r>
      <w:r/>
    </w:p>
    <w:p>
      <w:pPr>
        <w:pStyle w:val="646"/>
        <w:ind w:left="0" w:right="0" w:firstLine="37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八、质疑</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31.提出质疑的供应商应当是参与所质疑项目采购活动的供应商，潜在供应商依法获取其可质疑的采购文件的，可以对采购文件提出质疑。</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32.供应商认为采购文件、采购过程和采购结果使自己的权益受到损害的，可以在知道或应知其权益受到损害之日起七个工作日内，按照第34条、第35条之规定以书面形式向采购人或招标代理机构提出质疑。</w:t>
      </w:r>
      <w:r>
        <w:rPr>
          <w:rFonts w:ascii="SimSun" w:hAnsi="SimSun" w:eastAsia="SimSun" w:cs="SimSun"/>
          <w:b/>
          <w:color w:val="000000"/>
          <w:sz w:val="24"/>
        </w:rPr>
        <w:t xml:space="preserve">上述应知其权益受到损害之日是指：</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对采购文件提出质疑的，为收到采购文件之日或者采购文件公告期限届满之日。</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对采购过程提出质疑的，为各采购程序环节结束之日。</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对成交结果提出质疑的，为成交结果公告期限届满之日。</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33.供应商应当在法定质疑期内一次性提出针对同一采购程序环节的质疑。供应商如在法定期限内对同一采购程序环节提出多次质疑的，招标代理机构或采购人将只对供应商第一次质疑作出答复。</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34.供应商提出质疑应提交《质疑函》原件，且尽可能通过邮寄方式送达，招标代理机构和采购人不接受无运单的快件。《质疑函》应按照本磋商文件中《质疑函范本》的格式和内容填写。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供应商如组成联合体参加采购活动，《质疑函范本》中要求加盖公章之处，联合体各方均须按要求加盖公章。</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36.以下情形的质疑不予受理：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内容不符合《政府采购质疑和投诉办法》第十二条规定的质疑。</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超出政府采购法定期限的质疑。</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以传真、电子邮件等方式递交的非原件形式的质疑。</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 未参加采购活动或在采购活动中自身权益未受到损害的供应商所提出的质疑。</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 供应商组成联合体参加采购活动，联合体中任何一方或多方未按要求签字或盖章、加盖公章的质疑。</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36.6 法律法规规定的其他不予受理情形。</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供应商提出书面质疑必须有理、有据，不得捏造事实、提供虚假材料进行恶意质疑。否则，一经查实，招标代理机构或采购人有权依据政府采购的有关规定，报请政府采购监管部门对该供应商进行相应的行政处罚和记录该供应商的失信信息。</w:t>
      </w:r>
      <w:r/>
    </w:p>
    <w:p>
      <w:pPr>
        <w:pStyle w:val="646"/>
        <w:ind w:left="0" w:right="0" w:firstLine="37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九、政策功能落实</w:t>
      </w:r>
      <w:r/>
    </w:p>
    <w:p>
      <w:pPr>
        <w:pStyle w:val="648"/>
        <w:ind w:left="0" w:right="0" w:firstLine="36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38.促进中小企业发展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本项目服务由中小企业承接的，参与磋商的供应商享受中小企业扶持政策：</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中小企业参加政府采购活动，应当出具《中小企业声明函》，否则不享受相关中小企业支持政策。</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 以联合体形式参加政府采购活动，联合体各方均为中小企业的，联合体视同中小企业。其中，联合体各方均为小微企业的，联合体视同小微企业。</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38.6 残疾人福利性单位视同小型、微型企业。按照《关于促进残疾人就业政府采购政策的通知》（财库〔2017〕141号）规定，残疾人福利单位需提供《残疾人福利性单位声明函》。</w:t>
      </w:r>
      <w:r/>
    </w:p>
    <w:p>
      <w:pPr>
        <w:ind w:left="0" w:right="84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第三章合同文本</w:t>
      </w:r>
      <w:r/>
    </w:p>
    <w:p>
      <w:pPr>
        <w:ind w:left="0" w:right="0" w:firstLine="0"/>
        <w:jc w:val="center"/>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以下为本项目的合同条款，合同双方不得对磋商、响应文件内容作实质性修改。</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2518" w:right="0" w:hanging="2529"/>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2518" w:right="0" w:hanging="252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采购人（以下称甲方）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住所地：</w:t>
            </w:r>
            <w:r/>
          </w:p>
        </w:tc>
      </w:tr>
    </w:tbl>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根据《中华人民共和国政府采购法》《中华人民共和国劳动合同法》等法律法规的规定，</w:t>
      </w:r>
      <w:r>
        <w:rPr>
          <w:rFonts w:ascii="SimSun" w:hAnsi="SimSun" w:eastAsia="SimSun" w:cs="SimSun"/>
          <w:b/>
          <w:color w:val="000000"/>
          <w:sz w:val="24"/>
        </w:rPr>
        <w:t xml:space="preserve">以及招标代理编号：</w:t>
      </w:r>
      <w:r>
        <w:rPr>
          <w:rFonts w:ascii="SimSun" w:hAnsi="SimSun" w:eastAsia="SimSun" w:cs="SimSun"/>
          <w:b/>
          <w:color w:val="000000"/>
          <w:sz w:val="24"/>
          <w:u w:val="single"/>
        </w:rPr>
        <w:t xml:space="preserve">                          </w:t>
      </w:r>
      <w:r>
        <w:rPr>
          <w:rFonts w:ascii="SimSun" w:hAnsi="SimSun" w:eastAsia="SimSun" w:cs="SimSun"/>
          <w:b/>
          <w:color w:val="000000"/>
          <w:sz w:val="24"/>
        </w:rPr>
        <w:t xml:space="preserve">的招标结果，甲乙双方按照招标投标文件</w:t>
      </w:r>
      <w:r>
        <w:rPr>
          <w:rFonts w:ascii="SimSun" w:hAnsi="SimSun" w:eastAsia="SimSun" w:cs="SimSun"/>
          <w:color w:val="000000"/>
          <w:sz w:val="24"/>
        </w:rPr>
        <w:t xml:space="preserve">签订本合同。</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第一条合同标的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甲方将XXX区域的食堂人员服务工作委托乙方实行委托管理。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一、项目座落位置：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二、服务期限：暂定一年。</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第二条委托管理事项</w:t>
      </w:r>
      <w:r/>
    </w:p>
    <w:p>
      <w:pPr>
        <w:ind w:left="0" w:right="0" w:firstLine="7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委托管理服务事项详见招标文件技术需求。</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第三条合同总价款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一、本合同项下壹年管理服务费用人民币总价款为人民币元整（大写）。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二、本合同执行期间合同总价款不变。</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第四条组成本合同的有关文件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本招标文件或与本次采购活动方式相适应的文件及有关附件是本合同不可分割的组成部分，与本合同具有同等法律效力，这些文件包括但不限于：</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（1）乙方提供的投标文件和报价表；</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（2）中标通知书；</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（3）甲乙双方商定的其他文件。</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第五条双方权利义务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一、甲方权利义务：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1、代表和维护产权人及使用人的合法权益；</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2、不得干涉乙方依法或依本合同规定内容所进行的管理活动；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3、按时支付乙方费用；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4、甲方有权要求乙方提供撰写的管理服务管理制度及对甲方服务的年度计划、总结，检查监督乙方管理工作的实施及制度的执行情况；</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5、甲方指定专人负责管理、指导、沟通、协调、帮助乙方开展食堂餐饮服务管理工作，定期组织乙方召开工作例会，沟通交流信息和商讨解决存在的问题；</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6、甲方尽最大努力为乙方人员开展服务提供方便，配合乙方熟悉工作流程，提供相关业务咨询、指导培训，协助乙方做好服务管理工作并提供必要的工作条件；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7、甲方及时通知乙方在不影响完成合同范围内工作的情况下完成少量临时增加的工作任务，并对乙方的工作进程予以配合，乙方无正当理由不得拒绝；</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8、因工作范围、工作区域的变动，双方协商按照合同的价格为参照作出相应的调整；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9、甲方如果有理由认为乙方的工作人员不能为甲方接受，可以向乙方提出更换人员的要求；乙方在接到通知一周内向医院提供其可以接受的替换人员；</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10、法规、政策规定由甲方承担的其他责任。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二、乙方权利义务：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1、根据有关法律、法规、本合同的规定及本项目的实际情况，制定服务管理制度及管理方案、年度管理计划、资金使用计划及决算报告等工作目标；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2、建立、保存管理账目，及时向甲方公告本管理区域内的重大服务事项并定期向甲方公布服务管理费用收支账目；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3、在本项目管理区域内设立专门机构负责本项目的日常管理工作，并委派有岗位资质的人员履行本合同，双休日、节假日至少安排一名管理人员总值班，负责处理相关事宜；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4、自主开展各项管理活动，但不得侵害甲方、使用人及他人的合法权益，不得利用提供管理服务的便利获取不当利益；</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5、根据有关法律、法规的规定和本合同的规定，向甲方收取管理服务费用，通过合法有效方式解决拖欠服务费的问题；</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6、按本合同第九条第1、2款规定，对甲方的违约行为进行处理；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7、从事甲方要求的服务工作，不得以任何形式转租、转让、抵押院方的服务区域；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负责对在食堂工作的所有工作人员进行日常管理、安全教育和技能培训，并提供安全设施和劳保用品。因内部管理造成的安全生产、食品卫生等问题医院将视情节轻重对乙方处罚扣履约保证金500—2000元；若被相关部门或媒体查实、曝光，影响医院形象和声誉的，医院将对乙方处罚扣履约保证金总额20﹪-100%。影响特别恶劣的，医院可立即中止合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9、乙方服务人员应具备国家规定的相关资质要求，需向医院提供用工人员身份证、相关岗位的上岗证、健康证及卫生体检证明等（乙方负责各种证件的相关费用）；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乙方必须规范用工制度，保证与每位员工签订劳动合同，执行国家的法律法规，按规定缴纳各项保险费用。乙方不得以任何理由克扣工人工资。甲方鼓励乙方启用下岗再就业人员，但是社保缴纳比例不得低于符合缴纳社保条件员工的70%。合同期间若发生用工或劳资纠纷，与甲方无关；因乙方聘用人员与乙方或甲方发生劳动争议，产生的费用由乙方承担，甲方因此垫付费用的，有权向乙方追索。若被劳动监察部门查实并影响医院形象和声誉的，医院将对乙方处罚扣除全部履约保证金。影响特别恶劣的，甲方可终止解除本合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乙方负责委派合格的管理人员和有熟练技能、符合岗位要求的员工，保证重点岗位需求；各岗位配置人员要求相对固定，确保有效执行医院规定的餐饮服务工作。重要岗位人员调动要与医院商量，若重点岗位稳定性达不到要求，扣履约保证金200—500元。主管以上人员要求相对固定，年变动率不超过20%，如有变动，须与医院进行协商，员工变动须提前十天告知医院相关部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12、配合医院做好吸烟患者及家属的劝阻工作和工作期间楼道照明灯的开关及节约能源工作。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13、因医院工作需要，临时增加的工作任务，乙方必须积极完成，可根据工作量的大小适当给予经济补偿。</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服务期间，乙方应督促员工做好安全工作，杜绝事故的发生。若因乙方保洁等工作不到位，导致地面潮湿或其他异常情况，造成经过人员意外伤害，乙方负完全责任。因乙方服务人员工作失误，造成医院或患者财产损失、人员伤害和事故的，其责任和相关费用由乙方承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15、医院有义务指明危险品存放的位置，乙方人员不得擅自接触危险品，否则责任自负。乙方员工要爱护公物，严格物资出门手续，遗失物品或损坏公物按价赔偿，并承担相应责任。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16、乙方必须积极配合医院处理各类突发事件或自然灾害；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17、合同终止时，向甲方移交全部管理用房、档案资料和属甲方所有的其他资产，并办理交接手续；</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18、法规、政策规定由乙方承担的其他责任。</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三、在管理过程中，因下列因素所致的损害，不论其为直接或间接，均构成对乙方的免责事由，乙方不负赔偿之责：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1、天灾、地震等不可抗力的事由所致的损害；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2、暴动、持械抢劫、破坏、爆炸、火灾、刑事犯罪等违法行为等事由所致的损害，但因乙方故意或过失所致，不在此限；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3、因本合同标的物本身固有瑕疵所致的损害；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4、因甲方或第三者之故意、过失所致的损害；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5、因甲方或使用人专有部分的火灾、盗窃等所致的损害。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6、因乙方书面建议甲方改善或改进管理措施，而甲方未采纳所致的损害；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7、因甲方或使用人指挥调派乙方工作人员所致的损害；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8、本合同标的物之共用部分（含共用部位、共用设备设施）自然或人为的任何损坏。但因乙方故意或重大过失所致的，不在此限；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9、除上述各款外，其它不可归责于乙方之事由的。</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四、为维护公众、甲方的合法利益，在不可预见情况下，如发生煤气泄漏、漏电、火灾、水管破裂、救助人命、协助公安机关执行任务等情况，乙方因采取紧急避险措施造成财产损失的，按有关法律规定处理。</w:t>
      </w:r>
      <w:r/>
    </w:p>
    <w:p>
      <w:pPr>
        <w:ind w:left="0" w:right="0" w:firstLine="47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第六条质量保证</w:t>
      </w:r>
      <w:r/>
    </w:p>
    <w:p>
      <w:pPr>
        <w:ind w:left="42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1、建立质量管理体系并有效运行，管理服务能够接受质量审核。</w:t>
      </w:r>
      <w:r/>
    </w:p>
    <w:p>
      <w:pPr>
        <w:numPr>
          <w:ilvl w:val="0"/>
          <w:numId w:val="4"/>
        </w:numPr>
        <w:spacing w:before="0" w:after="0" w:line="4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建立有效的员工激励机制及绩效考核制度，保证管理服务持续提升，逐步达到创优评审条件。</w:t>
      </w:r>
      <w:r/>
    </w:p>
    <w:p>
      <w:pPr>
        <w:numPr>
          <w:ilvl w:val="0"/>
          <w:numId w:val="4"/>
        </w:numPr>
        <w:spacing w:before="0" w:after="0" w:line="4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各项承诺指标及所采取的措施详见“招标文件”。</w:t>
      </w:r>
      <w:r/>
    </w:p>
    <w:p>
      <w:pPr>
        <w:numPr>
          <w:ilvl w:val="0"/>
          <w:numId w:val="4"/>
        </w:numPr>
        <w:spacing w:before="0" w:after="0" w:line="4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其他管理服务质量要求按南京市有关标准执行。</w:t>
      </w:r>
      <w:r/>
    </w:p>
    <w:p>
      <w:pPr>
        <w:ind w:left="0" w:right="0" w:firstLine="54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第七条履约保证金</w:t>
      </w:r>
      <w:r/>
    </w:p>
    <w:p>
      <w:pPr>
        <w:ind w:left="0" w:right="0" w:firstLine="547"/>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1、乙方在签订本合同时需提交履约保证金5万整，履约保证金不足5万元时需及时补足。</w:t>
      </w:r>
      <w:r/>
    </w:p>
    <w:p>
      <w:pPr>
        <w:ind w:left="0" w:right="0" w:firstLine="547"/>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2、履约保证金的有效期为该项目合同期满时止。</w:t>
      </w:r>
      <w:r/>
    </w:p>
    <w:p>
      <w:pPr>
        <w:ind w:left="0" w:right="0" w:firstLine="547"/>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3、如乙方未能履行合同规定的义务，甲方有权从履约保证金中取得补偿。</w:t>
      </w:r>
      <w:r/>
    </w:p>
    <w:p>
      <w:pPr>
        <w:ind w:left="0" w:right="0" w:firstLine="547"/>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4、履约保证金扣除甲方应得的补偿后的余额在有效期满后七个工作日内无息退还给乙方。</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第八条款项支付</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乙方每月5日前向医院提供上月度相关岗位人数，经医院确认无误后实施对账签字，供应商按确认的金额向医院开具发票，医院在收到发票后一月内向供应商支付管理费用；</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2、本合同项下所有款项均以人民币支付。</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3、本合同项下的采购资金由甲方自行支付，乙方向甲方开具发票。乙方应于每月款项支付前向甲方提供对应金额的发票，否则甲方有权延迟付款，直至乙方开票。</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违约责任</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1、甲方无正当理由，违反本合同第五条的有关规定，使乙方未能完成规定管理目标的，乙方有权要求甲方在一定期限内解决，逾期未解决，造成乙方经济损失的，由甲方向乙方偿付合同总价5%的违约金。</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2、甲方未按合同规定的期限向乙方支付款项的，每逾期1天甲方向乙方偿付欠款总额的5‰滞纳金，但累计滞纳金总额不超过欠款总额的5% 。</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无正当理由，违反本合同第五条及第六条的有关规定，未能达到规定管理目标及质量保证的，甲方有权要求乙方限期整改，逾期未整改，造成甲方经济损失的，甲方有权扣留乙方全部履约保证金，同时乙方应向甲方支付合同总价5%的违约金。</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4、乙方无正当理由，违反本合同第三条的有关规定，擅自收费或擅自提高收费标准的，对擅自收费部分或超出标准的部分，甲方有权要求乙方双倍返还；造成甲方经济损失的，乙方应给予甲方经济赔偿。</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5、乙方在承担上述3、4款一项或多项违约责任后，仍应继续履行合同规定的义务（甲方解除合同的除外）。甲方未能及时追究乙方的任何一项违约责任并不表明甲方放弃追究乙方该项或其他违约责任。</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　合同的变更和终止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1、除《中华人民共和国政府采购法》第50条第二款规定的情形外，本合同一经签订，甲乙双方不得擅自变更、中止或终止合同。</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2、本合同终止时，乙方应移交管理权，撤出本项目，协助甲方做好服务的交接和善后工作，移交或配合甲方移交管理用房和管理的全部档案资料等。</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管理合同终止后，在新的管理企业接管本项目前，除甲方要求乙方提前撤离外，新老管理公司的交接过渡期最长为1个月，在此期间乙方应提供过渡期管理服务，过渡期管理服务标准和服务费标准不变，由乙方收取；1个月过渡期满后，必须按规定进行交接、撤离。</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　合同的转让</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第十二条争议的解决</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1、因履行本合同引起的或与本合同有关的争议，甲、乙双方应首先通过友好协商解决，如果协商不能解决争议，则采取以下第（2）种方式解决争议：</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（1）向甲方所在地有管辖权的人民法院提起诉讼；</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（2）向南京市仲裁委员会按其仲裁规则申请仲裁。</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2、在仲裁期间，本合同应继续履行。</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第十三条诚实信用</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乙方应诚实信用，严格按照谈判文件要求和承诺履行合同，不向甲方进行商业贿赂或者提供不正当利益。</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第十四条合同生效及其他</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1、本合同自签订之日起生效。</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2、本合同一式四份，甲方三份，乙方一份。</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3、本合同应按照中华人民共和国的现行法律进行解释。</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乙方（供应商）：（盖章）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r>
    </w:tbl>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附表件：科室用工人员配置及要求</w:t>
      </w:r>
      <w:r/>
    </w:p>
    <w:p>
      <w:pPr>
        <w:ind w:left="0" w:right="0" w:firstLine="0"/>
        <w:jc w:val="center"/>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第四章采购需求</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一、项目概述：</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南京市第二医院食堂委托供应商提供现场餐饮服务管理，要求满足医院餐饮服务医护人员就餐、患者及患者家属的就餐需求。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医院支付的餐饮服务管理费费用预算为370万，供应商在此预算基础下进行管理费报价，超过预算的报价作为废标处理。实际运行中按供应商实际到岗人数及单价进行按实结算。</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二、技术要求：</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总体要求</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1、医院明确所需供应商提供的服务岗位及人数，明确每个岗位所需的人员要求，详见附表；其中人员工资待遇不低于南京市最低工资标准。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2、供应商优先录用并向医院派遣在医院相应岗位有工作经历且被医院接受的人员，上述人员由供应商进行管理，工作内容由供应商按照医院要求进行委派。</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3、供应商所有人员需遵守医院规章制度。</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医院按照招标结果确定的结果向中标供应商按月按实支付餐饮服务的管理费用。如遇医院餐饮服务需求调整，要求增加或减少服务内容导致的人员增减，则按实际调整后的人数进行餐饮服务管理费的支付。医院向中标供应商支付的管理费用按中标供应商承诺的报价执行，非国家政策性调整最低工资、社保缴纳基数和比例的情况下，合同期内不允许调整。</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5、供应商负责根据医院餐饮服务需求对委派工作人员进行工作安排，日常管理及考核，并按照劳动法法规保证员工的工资、加班费、社保、假期及福利的核定及发放；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6、供应商负责制定对委派工作人员的考核标准及方式并提供给医院，对委派工作人员的考核记录及结果逐月提供给医院；</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7、如委派工作人员休假、病事假等原因，需要供应商临时调配劳务人员支持的，由供应商自行调配人员，产生的费用由供应商自行承担；</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8、如遇政策性调整医院按实及时调整相关岗位的待遇标准；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9、供应商每月5日前向医院提供上月度相关岗位人数，经医院确认无误后实施对账签字，供应商按确认的金额向医院开具发票，医院在收到发票后一月内向供应商支付管理费用；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10、本项目合同周期为1年。</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具体服务内容及要求：</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1、职工食堂</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按照医院的工作日历，每日提供早中晚餐，特殊情况的临时加班餐、各科室客饭、会议餐，确保餐饮服务的及时性、多样性，满足用餐需求，餐厅不对外开放。</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餐饮服务内容及服务体量：</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早餐—210～240人</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午餐—600～630人</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晚餐—130～160人</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早餐：须供应多种主食餐饮（点心、粥类、面食、豆浆、牛奶等）及小菜；</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午餐：应至少保证 15 个品种以上的菜品供应，以满足医院用餐的不同需求；</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晚餐：少量供应满足就餐需求，具体菜品由服务方自行设计；</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职工餐供餐时间：</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早餐：06:40-08:00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午餐：10:40-12:30</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晚餐：16:00-18:00</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2、营养食堂：</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全年每日提供住院患者早中晚餐及加餐点心，确保患者营养餐服务的及时性、科学营养性、多样性，满足患者及其家属的用餐需求，营养餐单餐最高供餐量约650份（具体按照住院患者实际点餐量）。</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患者营养餐必须严格按照营养科开具的食谱制作烹饪，不能擅自调整。根据医院患者需要提供小锅菜等。</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营养餐供餐时间：</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早餐：06:00-08:00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午餐：11:00-12:00</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晚餐：17:00-18:00</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3、家属餐厅</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按照医院的工作日历，每日提供早、中、晚餐，餐厅针对院内陪护家属及临时就诊人员提供临时性餐饮服务。</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餐饮服务体量：</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早餐—20～40人</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午餐—100～130人</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晚餐—20～40人</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餐饮供餐时间</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早餐：07:00-08:30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午餐：11:30-12:30</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晚餐：17:00-18:00</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3、患者餐配送：</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3.1、所有病区的配送餐工作，每天由配餐员上病区信息化点餐、送餐；</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3.2、根据病情需要和医嘱要求配送病员餐，如：普食，糖尿病饮食、低蛋白饮食、低脂饮食、低盐饮食等治疗饮食；流汁、半流汁、软食等饮食。</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3.3、根据家属点餐情况由配餐员按数送至各病区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按医院第三方出院患者满意度调查结果接受营养科的考核及考评，并根据每月第三方满意度反馈的问题提交改善措施，若每月医院第三方出院患者满意度得分低于市平均分、第三方出院患者满意度排名低于第10名，医院将扣除当月服务管理费500元/项/次；</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3.5、按三级甲等医院评审中的规范和要求，接受营养质控考核和检查，并根据采购人需要，规范台账记录。</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3.6、所有配餐员都需经过体检并核发健康证明，持证、挂牌、着装上岗。</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3.7、所有配餐员需要接受营养科的培训及考核，达到具有一定的营养膳食基础知识的要求，能和患者进行一定的营养膳食沟通和讲解。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4、人员聘用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4.1、供应商需根据医院岗位需求负责岗位人员的招聘；原则上男性员工小于60周岁，女性员工小于55周岁；按照劳动法规，负责劳动合同或协议的签订、劳动关系及社保的转移、变更；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供应商需按约定的岗位待遇及福利全额支付给委派工作人员，并履行政府规定的社会保险、个税等缴纳义务；为退休人员及内退人员办理意外伤害保险；</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4.3、供应商按照医院的用工需求及委派工作人员本人意愿，规范终止与委派工作人员的《劳动合同》或《劳务协议》，供应商按照医院需求终止与委派工作人员的聘用关系；</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4.4、供应商负责委派工作人员提出的劳动纠纷的处理；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4.5、供应商委派人员如出现工伤事故，由供应商负责所有工伤申报、认定、保险支付等手续的办理，任何发生的费用与责任均由供应商承担，与医院无关；</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4.6、供应商现场服务人员若有离职或调整，需在10天内补充到位，否则超过期限医院按200元/天扣罚违约金。</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5、人员要求</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5.1、常规要求</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进驻的员工须身体健康（具有健康体检证明），无违法犯罪记录，需严格遵章守纪，遵守医院规章制度。</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合同期间，派驻员工中如有不符合上述条件或要求的，医院有权提出更换，中标单位应无条件接受。</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合同期间，员工发生工伤等事故，由中标单位负责处理并承担相关的费用。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供应商应根据服务特点、服务要求，合理配备所需员工，并分配各区域、各岗点服务人数，安排班次。</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员工在上岗期间须穿着统一的制服。</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在服务期内，项目组人员应保持稳定，以保证服务工作的正常进行。医院可根据项目实际需求和业务需要对项目组人员作出合理调整的建议。若更换项目组人员，应以相当资格与技能的人员替换。</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5.2、管理人员要求</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工作职责：负责日常管理工作，并承担联系、沟通及协调经营中发生的问题。</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要求：有较强事业心和责任感，具备全面的管理和组织能力，并有较强的组织沟通、协调能力，同时具有及时处理应急事件的能力。具有敬业爱岗精神，工作中实事求是，业务上精益求精，充分发挥主观能动作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服务经理应具有相应服务管理经验具有专业服务能力，具备食品安全管理资质。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5.3、其他服务人员要求</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其他服务人员具有医院餐饮服务经验者为佳。</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厨师及面点师应具有相关证书。</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财务、库管人员应具有相关工作经验。</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厨师、面点师及管理人员的工作调动应事先协商经院方同意，其他人员的调整应及时通报院方。院方对派出人员的工作人员认为其不适应在食堂工作的，应书面提出，中标单位应在接到书面通知15天内予以调整。</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供应商应保证人员相对固定，如有变动供应商应提供最新的员工名单及健康体检证明。员工更换必须经得院方同意，当院方要求中标单位提出辞退某员工的要求时，应在三个工作日内予以更换。</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派出人员，必须经一年一次体检合格后方能上岗。必须遵守院方各项规章制度，如有违反，院方有权要求中标单位更换人员。</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派出人员应做到文明服务，礼貌待人，积极主动，热情周到。定期听取用餐人员的意见， 定期召开会议，商讨餐厅工作，改进服务质量。按时开饭，做到热菜、热饭、热汤，饭菜新鲜可口。</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6、卫生要求：</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根据《中华人民共和国食品安全法》《食品卫生法》等相关法律法规的规定，全面负责食堂各项卫生工作，达到有关规定要求，接受相关部门的监管。</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所有工作人员必须严格执行《食品安全法》和有关的卫生管理制度，保持个人卫生，制作、供应食品时，按规范的程序操作。</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制作的食品必须符合国家的食品卫生标准，每天提供的食品必须专人负责留样72小时，并做好记录以备查验。</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全面负责餐厅与厨房区域的环境卫生，设备、餐具的清洗消毒由专人负责，并做好相关的记录。</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必须对员工加强管理，严格执行各项卫生管理制度，杜绝食物中毒事件的发生，如因中标单位过失造成餐厅就餐人员食物中毒或其他管理饮食事故（经市（区）市场监督管理部门确认的食物中毒），责任均由中标单位负责，并承担相关的损失。</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日常管理要求：</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单位应按规定进行消毒。确保成品在食用前煮熟、煮透。切实落实菜肴留样制度。积极采取灭蝇、灭蟑等措施，认真打扫，保证操作间和就餐环境的卫生。加强对员工健康状况的检测，建立晨检制度，杜绝带病上岗。进一步加强对员工的管理、明确建立员工的职能分解，建立当班安全检查人制度。</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做好清扫保洁和环境治理工作，地面清洁无污物、纸屑杂物、积水，各物品放置整齐。</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厨房桌面、墙面擦洗清洁，无脏物、无油腻。工作间内设备用具、灯具、通风设备定期擦拭，无脏物、积垢，下水道畅通，隔油池清洁无异味。</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厨房和就餐区内无苍蝇，无蟑螂，消灭鼠迹，杜绝出现活鼠。积极开展灭鼠、灭蟑螂和卫生防疫，每月配合对阴沟污水井喷洒虫药杜绝虫害工作。</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保持下水管通畅，每月对排水沟清扫四次（明沟每周一次，暗沟每周一次）其他排水管道每月检查 2 次，如有堵塞应及时联系疏通，保持进出水位正常。</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建立食材验收流程，加强对食材的验收。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数量验收：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送货单数量与实物数量是否相符；送货单品名与实际品名是否相符；</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质量验收：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包装类食材验收：包装上内容是否与检验报告内容相符；生产日期、保质期符合要求；包装外观无破损、污损、变形、杂物、霉变等；食材气味无异味；食材触摸手感无异样；</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非包装类食材验收：食材是否有腐烂、霉变的食物，是否有异味，手感触摸有无异样，蔬菜是否新鲜。</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冷冻食材：是否冷链配送，食材接收前测温，中心温度符合要求。</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食材检测报告：根据食品安全管理要求，所有需要检测类食材，必须同步验收检测报告并存档。</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7、安全生产要求工作：</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设备、材料管理需求：</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院方提供的所有厨房设备、通讯设备和消防器材等设施需开具清单，要求项目负责人必须签收后，方可使用。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项目负责人负责餐厅的日常管理、财务管理、仓库管理等，管理情况需每月5日前以书面报表形式提交院方审核检查，报表内容必须真实有据。</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院方向中标单位提供水、电、煤、供餐场所、厨房及厨房设施设备和相关的固定通讯设备；以上设施设备的日常维修保养的费用由院方负责支付（中标单位使用不当或人为损坏除外）。</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质量管理需求：</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严格按照要求相关制度要求，做好从食品验收入库、领用加工、成品出菜以及餐饮具的清洗消毒、人员的卫生健康和环境的卫生等工作，检查督促餐饮服务的每个环节的工作，并做好相关记录。</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中标单位应接受院方的随时监督检查，并在规定的时间内答复院方提出的意见和要求； 同时项目负责人负责现场指挥，且保持同院方联络。</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中标单位必须具有食堂消防应急预案、有效的员工培训计划、考核制度，确保医院的膳食满意度能达到正常标准。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8、报价要求</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★供应商应按照磋商文件要求，报价按年金额填写，投标报价超过最高限价作无效标处理；</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按照岗位进行“分项报价表”的报价，“分项报价表”应明确标明按照招标要求的各岗位的岗位单价，未来将作为岗位结算单价进行结算；磋商环节二次报价的最终价格，结算单价按同等比例下浮结算。</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★供应商应制作“岗位人员薪资明细表”（格式自拟）对各岗位人员的薪资组成、社保缴纳情况列明明细，且符合南京市相关最低工资、社保、公积金缴纳、加班费的规定。</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9、其他要求</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★供应商必须提供《商务条款偏离表》及《技术条款偏离表》否则按无效标处理。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附表一：各岗位配置及人员要求（以下人员为医院本项目满编人员需求，根据供应商所报人员单价，按实际用工人数结算）</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6"/>
        <w:gridCol w:w="972"/>
        <w:gridCol w:w="589"/>
        <w:gridCol w:w="7242"/>
      </w:tblGrid>
      <w:tr>
        <w:trPr>
          <w:trHeight w:val="9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工种</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人数</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r>
      <w:tr>
        <w:trPr>
          <w:trHeight w:val="44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服务经理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top"/>
            <w:textDirection w:val="lrTb"/>
            <w:noWrap/>
          </w:tcPr>
          <w:p>
            <w:pPr>
              <w:ind w:left="0" w:right="0" w:firstLine="0"/>
              <w:jc w:val="center"/>
              <w:spacing w:before="95"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服务经理须具有十年以上医院服务管理经验，年龄40-55之间</w:t>
            </w:r>
            <w:r/>
          </w:p>
        </w:tc>
      </w:tr>
      <w:tr>
        <w:trPr>
          <w:trHeight w:val="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厨师长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top"/>
            <w:textDirection w:val="lrTb"/>
            <w:noWrap/>
          </w:tcPr>
          <w:p>
            <w:pPr>
              <w:ind w:left="0" w:right="0" w:firstLine="0"/>
              <w:jc w:val="center"/>
              <w:spacing w:before="95"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厨师长具有中式烹调师二级或以上证书</w:t>
            </w:r>
            <w:r/>
          </w:p>
        </w:tc>
      </w:tr>
      <w:tr>
        <w:trPr>
          <w:trHeight w:val="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餐厅主管</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top"/>
            <w:textDirection w:val="lrTb"/>
            <w:noWrap/>
          </w:tcPr>
          <w:p>
            <w:pPr>
              <w:ind w:left="0" w:right="0" w:firstLine="0"/>
              <w:jc w:val="center"/>
              <w:spacing w:before="97"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高中以上学历，具有五年以上医院相同岗位管理经验</w:t>
            </w:r>
            <w:r/>
          </w:p>
        </w:tc>
      </w:tr>
      <w:tr>
        <w:trPr>
          <w:trHeight w:val="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配餐主管</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top"/>
            <w:textDirection w:val="lrTb"/>
            <w:noWrap/>
          </w:tcPr>
          <w:p>
            <w:pPr>
              <w:ind w:left="0" w:right="0" w:firstLine="0"/>
              <w:jc w:val="center"/>
              <w:spacing w:before="97"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高中以上学历，具有五年以上医院相同岗位管理经验</w:t>
            </w:r>
            <w:r/>
          </w:p>
        </w:tc>
      </w:tr>
      <w:tr>
        <w:trPr>
          <w:trHeight w:val="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库管，财务</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top"/>
            <w:textDirection w:val="lrTb"/>
            <w:noWrap/>
          </w:tcPr>
          <w:p>
            <w:pPr>
              <w:ind w:left="0" w:right="0" w:firstLine="0"/>
              <w:jc w:val="center"/>
              <w:spacing w:before="98"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大专以上学历，需持有会计初级资格或以上证书</w:t>
            </w:r>
            <w:r/>
          </w:p>
        </w:tc>
      </w:tr>
      <w:tr>
        <w:trPr>
          <w:trHeight w:val="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收银员</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top"/>
            <w:textDirection w:val="lrTb"/>
            <w:noWrap/>
          </w:tcPr>
          <w:p>
            <w:pPr>
              <w:ind w:left="0" w:right="0" w:firstLine="0"/>
              <w:jc w:val="center"/>
              <w:spacing w:before="1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高中以上学历，形象、沟通良好</w:t>
            </w:r>
            <w:r/>
          </w:p>
        </w:tc>
      </w:tr>
      <w:tr>
        <w:trPr>
          <w:trHeight w:val="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职工餐厨师</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top"/>
            <w:textDirection w:val="lrTb"/>
            <w:noWrap/>
          </w:tcPr>
          <w:p>
            <w:pPr>
              <w:ind w:left="0" w:right="0" w:firstLine="0"/>
              <w:jc w:val="center"/>
              <w:spacing w:before="1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初中以上学历，具有中式烹调师四级或以上证书</w:t>
            </w:r>
            <w:r/>
          </w:p>
        </w:tc>
      </w:tr>
      <w:tr>
        <w:trPr>
          <w:trHeight w:val="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top"/>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营养餐厨师</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top"/>
            <w:textDirection w:val="lrTb"/>
            <w:noWrap/>
          </w:tcPr>
          <w:p>
            <w:pPr>
              <w:ind w:left="0" w:right="0" w:firstLine="0"/>
              <w:jc w:val="center"/>
              <w:spacing w:before="102"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初中以上学历，具有中式烹调师四级或以上证书</w:t>
            </w:r>
            <w:r/>
          </w:p>
        </w:tc>
      </w:tr>
      <w:tr>
        <w:trPr>
          <w:trHeight w:val="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面点师</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top"/>
            <w:textDirection w:val="lrTb"/>
            <w:noWrap/>
          </w:tcPr>
          <w:p>
            <w:pPr>
              <w:ind w:left="0" w:right="0" w:firstLine="0"/>
              <w:jc w:val="center"/>
              <w:spacing w:before="104"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初中以上学历，具有中式面点师四级或以上证书</w:t>
            </w:r>
            <w:r/>
          </w:p>
        </w:tc>
      </w:tr>
      <w:tr>
        <w:trPr>
          <w:trHeight w:val="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案板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top"/>
            <w:textDirection w:val="lrTb"/>
            <w:noWrap/>
          </w:tcPr>
          <w:p>
            <w:pPr>
              <w:ind w:left="0" w:right="0" w:firstLine="0"/>
              <w:jc w:val="center"/>
              <w:spacing w:before="105"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初中以上学历，相关工作经历一年以上</w:t>
            </w:r>
            <w:r/>
          </w:p>
        </w:tc>
      </w:tr>
      <w:tr>
        <w:trPr>
          <w:trHeight w:val="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蒸煮</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top"/>
            <w:textDirection w:val="lrTb"/>
            <w:noWrap/>
          </w:tcPr>
          <w:p>
            <w:pPr>
              <w:ind w:left="0" w:right="0" w:firstLine="0"/>
              <w:jc w:val="center"/>
              <w:spacing w:before="105"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吃苦耐劳，人品端正，相关工作经历一年以上</w:t>
            </w:r>
            <w:r/>
          </w:p>
        </w:tc>
      </w:tr>
      <w:tr>
        <w:trPr>
          <w:trHeight w:val="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粗加工组长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top"/>
            <w:textDirection w:val="lrTb"/>
            <w:noWrap/>
          </w:tcPr>
          <w:p>
            <w:pPr>
              <w:ind w:left="0" w:right="0" w:firstLine="0"/>
              <w:jc w:val="center"/>
              <w:spacing w:before="107"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初中以上学历，相关工作经历三年以上</w:t>
            </w:r>
            <w:r/>
          </w:p>
        </w:tc>
      </w:tr>
      <w:tr>
        <w:trPr>
          <w:trHeight w:val="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粗加工</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top"/>
            <w:textDirection w:val="lrTb"/>
            <w:noWrap/>
          </w:tcPr>
          <w:p>
            <w:pPr>
              <w:ind w:left="0" w:right="0" w:firstLine="0"/>
              <w:jc w:val="center"/>
              <w:spacing w:before="108"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吃苦耐劳，人品端正</w:t>
            </w:r>
            <w:r/>
          </w:p>
        </w:tc>
      </w:tr>
      <w:tr>
        <w:trPr>
          <w:trHeight w:val="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洗碗工</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top"/>
            <w:textDirection w:val="lrTb"/>
            <w:noWrap/>
          </w:tcPr>
          <w:p>
            <w:pPr>
              <w:ind w:left="0" w:right="0" w:firstLine="0"/>
              <w:jc w:val="center"/>
              <w:spacing w:before="108"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吃苦耐劳，人品端正</w:t>
            </w:r>
            <w:r/>
          </w:p>
        </w:tc>
      </w:tr>
      <w:tr>
        <w:trPr>
          <w:trHeight w:val="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保洁员</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top"/>
            <w:textDirection w:val="lrTb"/>
            <w:noWrap/>
          </w:tcPr>
          <w:p>
            <w:pPr>
              <w:ind w:left="0" w:right="0" w:firstLine="0"/>
              <w:jc w:val="center"/>
              <w:spacing w:before="108"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吃苦耐劳，人品端正</w:t>
            </w:r>
            <w:r/>
          </w:p>
        </w:tc>
      </w:tr>
      <w:tr>
        <w:trPr>
          <w:trHeight w:val="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职工餐派送员</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top"/>
            <w:textDirection w:val="lrTb"/>
            <w:noWrap/>
          </w:tcPr>
          <w:p>
            <w:pPr>
              <w:ind w:left="0" w:right="0" w:firstLine="0"/>
              <w:jc w:val="center"/>
              <w:spacing w:before="108"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高中以上学历，熟悉电脑表格使用</w:t>
            </w:r>
            <w:r/>
          </w:p>
        </w:tc>
      </w:tr>
      <w:tr>
        <w:trPr>
          <w:trHeight w:val="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病区回访员</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top"/>
            <w:textDirection w:val="lrTb"/>
            <w:noWrap/>
          </w:tcPr>
          <w:p>
            <w:pPr>
              <w:ind w:left="0" w:right="0" w:firstLine="0"/>
              <w:jc w:val="center"/>
              <w:spacing w:before="108"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高中以上学历，形象良好，沟通能力强</w:t>
            </w:r>
            <w:r/>
          </w:p>
        </w:tc>
      </w:tr>
      <w:tr>
        <w:trPr>
          <w:trHeight w:val="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病区送餐员</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top"/>
            <w:textDirection w:val="lrTb"/>
            <w:noWrap/>
          </w:tcPr>
          <w:p>
            <w:pPr>
              <w:ind w:left="0" w:right="0" w:firstLine="0"/>
              <w:jc w:val="center"/>
              <w:spacing w:before="108"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初中以上学历，形象良好，沟通能力好</w:t>
            </w:r>
            <w:r/>
          </w:p>
        </w:tc>
      </w:tr>
      <w:tr>
        <w:trPr>
          <w:trHeight w:val="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咖啡师</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tcPr>
          <w:p>
            <w:pPr>
              <w:ind w:left="0" w:right="0" w:firstLine="0"/>
              <w:jc w:val="center"/>
              <w:spacing w:before="108"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掌握全面的咖啡理论知识，包括咖啡豆品种；精通各类咖啡设备操作及饮品制作技巧；具备2年以上行业实操经验，熟悉咖啡品鉴与风味调配。</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小时工</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top"/>
            <w:textDirection w:val="lrTb"/>
            <w:noWrap/>
          </w:tcPr>
          <w:p>
            <w:pPr>
              <w:ind w:left="0" w:right="0" w:firstLine="0"/>
              <w:jc w:val="center"/>
              <w:spacing w:before="167"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吃苦耐劳，人品端正</w:t>
            </w:r>
            <w:r/>
          </w:p>
        </w:tc>
      </w:tr>
      <w:tr>
        <w:trPr>
          <w:trHeight w:val="90"/>
        </w:trPr>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8"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2" w:type="dxa"/>
            <w:vAlign w:val="center"/>
            <w:textDirection w:val="lrTb"/>
            <w:noWrap/>
          </w:tcPr>
          <w:p>
            <w:pPr>
              <w:ind w:left="429" w:right="0" w:firstLine="0"/>
              <w:jc w:val="center"/>
              <w:spacing w:before="167"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上述人员年龄要求男性60周岁以下，女性55周岁以下。</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第五章评审方法与评审标准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一、评审方法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采用综合评分法，对满足磋商文件全部实质性要求的响应文件按评审因素的量化指标评审总分对供应商进行排序。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经磋商确定最终采购需求和提交最后报价的供应商后，磋商小组成员独立对提交最后报价的供应商的响应文件和最后报价进行综合评分。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3家中标候选人。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二、小微企业价格扣除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1.本项目服务全部由小微企业承接的，对报价给予10%的扣除，用扣除后的价格参与评审。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3.上述价格扣除政策仅适用于“非专门面向中小企业采购项目”。</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4.供应商为小微企业的必须提供《中小企业声明函》否则不享受价格扣除。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（1）本项目如专门面向中小企业采购，则不执行价格扣除政策，供应商应为中小微企业、监狱企业、残疾人福利性单位。</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如允许联合体参加磋商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6%的扣除（500万元（含）以上的项目为4%，500万元以内的项目为6%），用扣除后的价格参与评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（3）联合体各方均为小型、微型企业（或残疾人福利性单位、监狱企业）的，给予与小微企业相同的价格扣除，用扣除后的价格参与评审。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三、评审标准</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4"/>
        <w:gridCol w:w="1142"/>
        <w:gridCol w:w="6207"/>
        <w:gridCol w:w="617"/>
        <w:gridCol w:w="825"/>
      </w:tblGrid>
      <w:tr>
        <w:trPr>
          <w:trHeight w:val="47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4"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类型</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114" w:right="0" w:firstLine="0"/>
              <w:jc w:val="both"/>
              <w:spacing w:before="122"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1.价</w:t>
            </w:r>
            <w:r>
              <w:rPr>
                <w:rFonts w:ascii="SimSun" w:hAnsi="SimSun" w:eastAsia="SimSun" w:cs="SimSun"/>
                <w:b/>
                <w:color w:val="000000"/>
                <w:spacing w:val="-2"/>
                <w:sz w:val="21"/>
              </w:rPr>
              <w:t xml:space="preserve">格</w:t>
            </w:r>
            <w:r/>
          </w:p>
        </w:tc>
      </w:tr>
      <w:tr>
        <w:trPr>
          <w:trHeight w:val="10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07"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采购文件要求且最终报价最低的供应商报价为评标基准价，其价格分为满分。其他供应商的价格分统一按照下列公式计算：报价得分=（评标基准价/最终报价）×价格分值（小数点保留两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w:t>
            </w:r>
            <w:r/>
          </w:p>
        </w:tc>
      </w:tr>
      <w:tr>
        <w:trPr>
          <w:trHeight w:val="8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服务总体设想、思路、目标</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07"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服务的总体设想、思路、目标的描述。评委根据描述的合理性、符合性、准确性进行评分。描述完善、科学可行、针对性强，重点、难点分析准确，应对措施有力得8分；方案较为完善、针对性强，重点、难点把控大致准确得5分；方案欠缺、重点、难点把控不准的得2分；未提供服务方案的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现场管理制度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07"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管理制度（包括但不限于人事管理、财务管理、岗位职责、卫生管理、安全管理等制度）的针对性、科学性、全面性进行评分。方案完善、科学可行、针对性强，重点、难点分析准确，应对措施有力得6分；方案较为完善、针对性强，重点、难点把控大致准确得3分；方案欠缺、重点、难点把控不准的得1分；未提供服务方案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8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菜式及出品方案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07"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项目的实际需求情况进行分析，提供每周菜谱清单，评委根据菜谱的多样性、合理性、营养性进行评分。方案完善、科学可行、针对性强，重点、难点分析准确，应对措施有力得6分；方案较为完善、针对性强，重点、难点把控大致准确得3分；方案欠缺、重点、难点把控不准的得1分；未提供服务方案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8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人员招聘计划及稳定措施</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07"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方案（包括但不限于招聘计划、招聘途径、防止人员离职的稳定措施等）方案完善、科学可行、针对性强，重点、难点分析准确，应对措施有力得6分；方案较为完善、针对性强，重点、难点把控大致准确得3分；方案欠缺、重点、难点把控不准的得1分；未提供服务方案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人员缺编及应急方案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07"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不可预见的情况出现人员缺编，评委根据供应商提供的人员缺编应急方案的重点、难点把控等情况进行评分。方案完善、科学可行、针对性强，重点、难点分析准确，应对措施有力得6分；方案较为完善、针对性强，重点、难点把控大致准确得3分；方案欠缺、重点、难点把控不准的得1分；未提供服务方案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2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服务投诉处理预案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07"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内，为预防可能发生的服务投诉、纠纷等情况，提供响应的预防方案以及处理方案。评委根据供应商提供方案的重点、难点把控等情况进行评分。方案完善、科学可行、针对性强，重点、难点分析准确，应对措施有力得6分；方案较为完善、针对性强，重点、难点把控大致准确得3分；方案欠缺、重点、难点把控不准的得1分；未提供服务方案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23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食品安全、质量管理方案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07"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食品安全、质量管理方案的科学性、针对性、可行性进行评分。方案完善、科学可行、针对性强，重点、难点分析准确，应对措施有力得6分；方案较为完善、针对性强，重点、难点把控大致准确得3分；方案欠缺、重点、难点把控不准的得1分；未提供服务方案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8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餐饮应急预案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07"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各类应急预案（包括但不限于火灾、食物中毒预防、中毒事件应急预案、停水停电应急预案等）进行评分。方案完善、科学可行、针对性强，重点、难点分析准确，应对措施有力得6分；方案较为完善、针对性强，重点、难点把控大致准确得3分；方案欠缺、重点、难点把控不准的得1分；未提供服务方案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11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合理化建议及增值服务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07"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根据供应商为采购人提供的增值服务及措施内容及方案进行评分。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内容合理可行性强的得5分；方案较为完善、针对性强，重点、难点把控大致准确得3分；方案欠缺、重点、难点把控不准的得1分；未提供服务方案的不得分；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5"/>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3.业绩</w:t>
            </w:r>
            <w:r/>
          </w:p>
        </w:tc>
      </w:tr>
      <w:tr>
        <w:trPr>
          <w:trHeight w:val="6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供应商业绩</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07"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供应商提供2022年12月1日（含）以来类似项目业绩，每提供1个得3分，最多得6分。（提供有效合同及中标通知书原件扫描件，二者缺一不可，内容须清晰可见，时间以合同签订时间为准）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07"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项目负责人具有2022年12月1日（含）以来类似项目业绩，每提供1个得3分，最多得3分。（提供有效合同及中标通知书原件扫描件，二者缺一不可，内容须清晰可见，时间以合同签订时间为准）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269"/>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0" w:right="0" w:firstLine="0"/>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4.履约能力</w:t>
            </w:r>
            <w:r/>
          </w:p>
        </w:tc>
      </w:tr>
      <w:tr>
        <w:trPr>
          <w:trHeight w:val="7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项目负责人情况</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07"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项目负责人具有国家相关部门认证认可的食品安全管理师证书的，得5分，没有不得分。（提供有效的证书原件扫描件）</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77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项目采购需求响应情况</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07"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评委根据，《技术要求响应及偏离表》对供应商针对本项目采购需求中要求响应情况进行打分）。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完全响应无负偏离的，得15分；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有负偏离对项目整体项目质量影响不大的，的12分；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有负偏离对项目整项目质量影响较大的，得9分；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103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供应商抗风险能力</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07"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投保商业综合责任保险，保险赔偿额度大于等于3000万元人民币的，得6分，保险赔偿额度小于3000万元，大于等于2000万元的得3分，保险赔偿额度小于2000万元，大于等于1000万元的得1分，其它不得分。提供有效的保险合同或保险凭证清晰原件扫描件，并能反映相关内容，否则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 </w:t>
            </w:r>
            <w:r/>
          </w:p>
        </w:tc>
      </w:tr>
      <w:tr>
        <w:trPr>
          <w:trHeight w:val="46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合</w:t>
            </w:r>
            <w:r>
              <w:rPr>
                <w:rFonts w:ascii="SimSun" w:hAnsi="SimSun" w:eastAsia="SimSun" w:cs="SimSun"/>
                <w:color w:val="000000"/>
                <w:spacing w:val="-2"/>
                <w:sz w:val="21"/>
              </w:rPr>
              <w:t xml:space="preserve">计</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350" w:type="dxa"/>
            <w:vAlign w:val="center"/>
            <w:textDirection w:val="lrTb"/>
            <w:noWrap w:val="false"/>
          </w:tcPr>
          <w:p>
            <w:pPr>
              <w:ind w:left="172" w:right="0" w:firstLine="0"/>
              <w:jc w:val="center"/>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2"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100分</w:t>
            </w:r>
            <w:r/>
          </w:p>
        </w:tc>
      </w:tr>
    </w:tbl>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第六章响应文件格式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（加盖电子公章）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四、磋商响应函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五、磋商报价表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六、分项报价表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八、商务要求响应及偏离表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十一、联合体协议（如有）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一、供应商信用承诺函</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南京市政府采购供应商信用记录表暨信用承诺书</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0"/>
        <w:gridCol w:w="2130"/>
        <w:gridCol w:w="2131"/>
        <w:gridCol w:w="2131"/>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星级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诚信档案记录情况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2"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2" w:type="dxa"/>
            <w:vAlign w:val="center"/>
            <w:textDirection w:val="lrTb"/>
            <w:noWrap w:val="false"/>
          </w:tcPr>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w:t>
            </w:r>
            <w:r>
              <w:rPr>
                <w:rFonts w:ascii="SimSun" w:hAnsi="SimSun" w:eastAsia="SimSun" w:cs="SimSun"/>
                <w:color w:val="000000"/>
                <w:sz w:val="21"/>
              </w:rPr>
              <w:t xml:space="preserve">或其他违法违规行为，原承担一切法律责任，接受各级政府采购监管部门和有权机关的审查和处罚。</w:t>
            </w:r>
            <w:r/>
          </w:p>
          <w:p>
            <w:pPr>
              <w:ind w:left="0" w:right="0" w:firstLine="2520"/>
              <w:jc w:val="both"/>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25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tc>
      </w:tr>
    </w:tbl>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（此表仅供参考，供应商应按文件要求提供具有二维码的对应材料）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注：1、供应商在中标（成交）后，应按采购文件要求，将上述由信用承诺书替代的证明材料提交采购人或采购代理机构核验。经核验无误后，由采购人或采购代理机构发出中标（成交）通知书。</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2、信用承诺书替代的证明材料为：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（2）具有良好的商业信誉和健全的财务会计制度（提供参加本次政府采购活动前的财务状况报告，法人或者其他组织成立未满一年的可以不提供）；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（3）具有履行合同所必需的设备和专业技术能力（据项目需求提供履行合同所必需的设备和专业技术能力的声明及证明材料）；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（4）有依法缴纳税收和社会保障资金的良好记录（提供参加本次采购活动前依法缴纳税收和社会保障资金的相关材料）；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（5）参加本次采购活动前三年内，在经营活动中没有重大违法或不良征信记录（提供参加本次采购活动前三年内在经营活动中没有重大违法记录的书面声明）。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本项目申请人的特定资格要求中要求提供的材料。</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三、法人授权书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法人授权书</w:t>
      </w:r>
      <w:r/>
    </w:p>
    <w:p>
      <w:pPr>
        <w:ind w:left="0" w:right="0" w:firstLine="480"/>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（被授权人的姓名）作为我方就编号为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的项目采购活动的合法代理人，以本单位名义全权处理一切与该项目采购有关的事务。</w:t>
      </w:r>
      <w:r/>
    </w:p>
    <w:p>
      <w:pPr>
        <w:ind w:left="0" w:right="0" w:firstLine="480"/>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p>
    <w:p>
      <w:pPr>
        <w:ind w:left="0" w:right="0" w:firstLine="480"/>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80"/>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授权单位名称：（加盖电子公章）</w:t>
      </w:r>
      <w:r/>
    </w:p>
    <w:p>
      <w:pPr>
        <w:ind w:left="0" w:right="0" w:firstLine="480"/>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四、磋商响应函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磋商响应函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致：江苏骏通建设项目管理咨询有限公司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的项目磋商文件，我方正式提交磋商响应函，并宣布同意如下内容：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1.按磋商文件规定的各项要求，向买方提供所需服务（包含与服务相关的货物）。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3.我们已详细审核全部磋商文件及其有效补充文件，我们知道必须放弃提出含糊不清或误解问题的权利。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4.我们同意从规定的磋商日期起遵循本响应文件，并在规定的磋商有效期期满之前均具有约束力。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5.同意向贵方提供贵方可能另外要求的与磋商有关的任何证据或资料，并保证我方已提供和将要提供的文件是真实的、准确的。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6.一旦我方成交，我方将根据磋商文件的规定，严格履行合同的责任和义务，并保证在磋商文件规定的时间完成项目，交付买方验收、使用。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7.我方为：¨大型企业 ¨中型企业 ¨小型企业 ¨微型企业（在对应¨内打“√”）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8.我方与本磋商有关的正式通讯地址为：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五、磋商报价表</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磋商报价表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小写（元）：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六、分项报价表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分项报价表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02"/>
        <w:gridCol w:w="1417"/>
        <w:gridCol w:w="1843"/>
        <w:gridCol w:w="1701"/>
        <w:gridCol w:w="850"/>
      </w:tblGrid>
      <w:tr>
        <w:trPr>
          <w:trHeight w:val="116"/>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月费用（人·元）</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年费用（人·元）</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人数</w:t>
            </w:r>
            <w:r/>
          </w:p>
        </w:tc>
      </w:tr>
      <w:tr>
        <w:trPr>
          <w:trHeight w:val="20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802"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一、人工费用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（含工资、社保、奖金、商业保险、加班费、高温费、体检费、服装费等）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8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8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8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8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8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8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1"/>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合计（各岗位年费用乘以各岗位人数后，再相加）</w:t>
            </w:r>
            <w:r/>
          </w:p>
        </w:tc>
        <w:tc>
          <w:tcPr>
            <w:gridSpan w:val="4"/>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58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67"/>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单年费用报价</w:t>
            </w:r>
            <w:r/>
          </w:p>
        </w:tc>
        <w:tc>
          <w:tcPr>
            <w:gridSpan w:val="2"/>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277"/>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二、管理费及利润</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65"/>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三、税金</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69"/>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四、其他</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77"/>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总计（上述一至四项的费用之和）</w:t>
            </w:r>
            <w:r/>
          </w:p>
        </w:tc>
        <w:tc>
          <w:tcPr>
            <w:gridSpan w:val="4"/>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58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74"/>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c>
          <w:tcPr>
            <w:gridSpan w:val="4"/>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58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p>
        </w:tc>
      </w:tr>
    </w:tbl>
    <w:p>
      <w:pPr>
        <w:ind w:left="0" w:right="0" w:firstLine="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1.供应商可根据自身的实际情况对此表进行扩展或微调，如有补充说明，可附加相关说明文档。</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2.人工费用中的各岗位、各人数按本招标文件“第四章采购需求”中列出的岗位名称和人数要求填写。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法定代表人/授权代表（签字）：                          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七、</w:t>
      </w:r>
      <w:r>
        <w:rPr>
          <w:rFonts w:ascii="SimSun" w:hAnsi="SimSun" w:eastAsia="SimSun" w:cs="SimSun"/>
          <w:color w:val="000000"/>
          <w:sz w:val="24"/>
        </w:rPr>
        <w:t xml:space="preserve">★</w:t>
      </w:r>
      <w:r>
        <w:rPr>
          <w:rFonts w:ascii="SimSun" w:hAnsi="SimSun" w:eastAsia="SimSun" w:cs="SimSun"/>
          <w:color w:val="000000"/>
          <w:sz w:val="32"/>
        </w:rPr>
        <w:t xml:space="preserve">技术要求响应及偏离表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技术要求响应及偏离表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8"/>
        <w:gridCol w:w="2769"/>
        <w:gridCol w:w="2681"/>
        <w:gridCol w:w="31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1.供应商须对磋商文件技术要求中的实质性要求（斜体下划线内容或打“★”内容）及其他要求做出明确响应，否则视为无效响应。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八、</w:t>
      </w:r>
      <w:r>
        <w:rPr>
          <w:rFonts w:ascii="SimSun" w:hAnsi="SimSun" w:eastAsia="SimSun" w:cs="SimSun"/>
          <w:color w:val="000000"/>
          <w:sz w:val="24"/>
        </w:rPr>
        <w:t xml:space="preserve">★</w:t>
      </w:r>
      <w:r>
        <w:rPr>
          <w:rFonts w:ascii="SimSun" w:hAnsi="SimSun" w:eastAsia="SimSun" w:cs="SimSun"/>
          <w:color w:val="000000"/>
          <w:sz w:val="32"/>
        </w:rPr>
        <w:t xml:space="preserve">商务要求响应及偏离表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商务要求响应及偏离表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2733"/>
        <w:gridCol w:w="2689"/>
        <w:gridCol w:w="31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1.供应商须对磋商文件商务要求中的实质性要求（斜体下划线内容或打“★”内容）做出明确响应，否则视为无效响应。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九、中小企业声明函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中小企业声明函（服务）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行业（磋商文件中明确的所属行业）；承接企业为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，属于¨中型企业 ¨小型企业 ¨微型企业。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行业（磋商文件中明确的所属行业）；承接企业为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）的采购活动，服务全部由本单位提供。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1.供应商如不提供此声明函，价格将不做相应扣除。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2.成交供应商为残疾人福利性单位的，此声明函将随成交结果同时公告，接受社会监督。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十一、联合体协议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联合体协议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）的采购活动，并指定</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（供应商名称）为牵头单位。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2.若我们联合成交，</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（工作内容）部分工作，并承担相应的责任；</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（工作内容）部分工作，并承担相应的责任；……。（注：需明确联合体中各供应商所承担的工作和相应的责任）。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（企业全称）为¨小型、微型企业 ¨残疾人福利性单位 ¨监狱企业，且我们约定该单位所承担的合同金额将占本项目合同总金额的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联合体中各供应商全称：（加盖电子公章）    </w:t>
      </w:r>
      <w:r/>
    </w:p>
    <w:p>
      <w:pPr>
        <w:ind w:left="0" w:right="0" w:firstLine="5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2.在所属企业类型前的¨内打“√”。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3.除另有说明外，本磋商文件要求加盖电子公章之处，加盖牵头单位的电子公章即可。</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Courier New">
    <w:panose1 w:val="02070309020205020404"/>
  </w:font>
  <w:font w:name="SimHei">
    <w:panose1 w:val="02010609060101010101"/>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decimal"/>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decimal"/>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decimal"/>
      <w:isLgl w:val="false"/>
      <w:suff w:val="tab"/>
      <w:lvlText w:val="%9."/>
      <w:lvlJc w:val="right"/>
      <w:pPr>
        <w:ind w:left="4200" w:hanging="42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uiPriority w:val="34"/>
    <w:qFormat/>
    <w:pPr>
      <w:contextualSpacing/>
      <w:ind w:left="720"/>
    </w:pPr>
  </w:style>
  <w:style w:type="paragraph" w:styleId="661">
    <w:name w:val="No Spacing"/>
    <w:uiPriority w:val="1"/>
    <w:qFormat/>
    <w:pPr>
      <w:spacing w:before="0" w:after="0" w:line="240" w:lineRule="auto"/>
    </w:pPr>
  </w:style>
  <w:style w:type="paragraph" w:styleId="662">
    <w:name w:val="Title"/>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link w:val="667"/>
    <w:uiPriority w:val="29"/>
    <w:qFormat/>
    <w:pPr>
      <w:ind w:left="720" w:right="720"/>
    </w:pPr>
    <w:rPr>
      <w:i/>
    </w:rPr>
  </w:style>
  <w:style w:type="character" w:styleId="667">
    <w:name w:val="Quote Char"/>
    <w:link w:val="666"/>
    <w:uiPriority w:val="29"/>
    <w:rPr>
      <w:i/>
    </w:rPr>
  </w:style>
  <w:style w:type="paragraph" w:styleId="668">
    <w:name w:val="Intense Quote"/>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uiPriority w:val="39"/>
    <w:unhideWhenUsed/>
    <w:pPr>
      <w:ind w:left="0" w:right="0" w:firstLine="0"/>
      <w:spacing w:after="57"/>
    </w:pPr>
  </w:style>
  <w:style w:type="paragraph" w:styleId="810">
    <w:name w:val="toc 2"/>
    <w:uiPriority w:val="39"/>
    <w:unhideWhenUsed/>
    <w:pPr>
      <w:ind w:left="283" w:right="0" w:firstLine="0"/>
      <w:spacing w:after="57"/>
    </w:pPr>
  </w:style>
  <w:style w:type="paragraph" w:styleId="811">
    <w:name w:val="toc 3"/>
    <w:uiPriority w:val="39"/>
    <w:unhideWhenUsed/>
    <w:pPr>
      <w:ind w:left="567" w:right="0" w:firstLine="0"/>
      <w:spacing w:after="57"/>
    </w:pPr>
  </w:style>
  <w:style w:type="paragraph" w:styleId="812">
    <w:name w:val="toc 4"/>
    <w:uiPriority w:val="39"/>
    <w:unhideWhenUsed/>
    <w:pPr>
      <w:ind w:left="850" w:right="0" w:firstLine="0"/>
      <w:spacing w:after="57"/>
    </w:pPr>
  </w:style>
  <w:style w:type="paragraph" w:styleId="813">
    <w:name w:val="toc 5"/>
    <w:uiPriority w:val="39"/>
    <w:unhideWhenUsed/>
    <w:pPr>
      <w:ind w:left="1134" w:right="0" w:firstLine="0"/>
      <w:spacing w:after="57"/>
    </w:pPr>
  </w:style>
  <w:style w:type="paragraph" w:styleId="814">
    <w:name w:val="toc 6"/>
    <w:uiPriority w:val="39"/>
    <w:unhideWhenUsed/>
    <w:pPr>
      <w:ind w:left="1417" w:right="0" w:firstLine="0"/>
      <w:spacing w:after="57"/>
    </w:pPr>
  </w:style>
  <w:style w:type="paragraph" w:styleId="815">
    <w:name w:val="toc 7"/>
    <w:uiPriority w:val="39"/>
    <w:unhideWhenUsed/>
    <w:pPr>
      <w:ind w:left="1701" w:right="0" w:firstLine="0"/>
      <w:spacing w:after="57"/>
    </w:pPr>
  </w:style>
  <w:style w:type="paragraph" w:styleId="816">
    <w:name w:val="toc 8"/>
    <w:uiPriority w:val="39"/>
    <w:unhideWhenUsed/>
    <w:pPr>
      <w:ind w:left="1984" w:right="0" w:firstLine="0"/>
      <w:spacing w:after="57"/>
    </w:pPr>
  </w:style>
  <w:style w:type="paragraph" w:styleId="817">
    <w:name w:val="toc 9"/>
    <w:uiPriority w:val="39"/>
    <w:unhideWhenUsed/>
    <w:pPr>
      <w:ind w:left="2268" w:right="0" w:firstLine="0"/>
      <w:spacing w:after="57"/>
    </w:pPr>
  </w:style>
  <w:style w:type="paragraph" w:styleId="818">
    <w:name w:val="TOC Heading"/>
    <w:uiPriority w:val="39"/>
    <w:unhideWhenUsed/>
  </w:style>
  <w:style w:type="paragraph" w:styleId="819">
    <w:name w:val="table of figures"/>
    <w:uiPriority w:val="99"/>
    <w:unhideWhenUsed/>
    <w:pPr>
      <w:spacing w:after="0" w:afterAutospacing="0"/>
    </w:pPr>
  </w:style>
  <w:style w:type="character" w:styleId="820" w:default="1">
    <w:name w:val="Default Paragraph Font"/>
    <w:uiPriority w:val="1"/>
    <w:semiHidden/>
    <w:unhideWhenUsed/>
  </w:style>
  <w:style w:type="numbering" w:styleId="821" w:default="1">
    <w:name w:val="No List"/>
    <w:uiPriority w:val="99"/>
    <w:semiHidden/>
    <w:unhideWhenUsed/>
  </w:style>
  <w:style w:type="paragraph" w:styleId="822" w:default="1">
    <w:name w:val="Normal"/>
    <w:qFormat/>
  </w:style>
  <w:style w:type="table" w:styleId="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张杨</cp:lastModifiedBy>
  <cp:revision>2</cp:revision>
  <dcterms:created xsi:type="dcterms:W3CDTF">2025-12-24T03:34:12Z</dcterms:created>
  <dcterms:modified xsi:type="dcterms:W3CDTF">2025-12-24T06:23:00Z</dcterms:modified>
</cp:coreProperties>
</file>